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C02C" w14:textId="240CE3A5" w:rsidR="00B078FC" w:rsidRPr="00B078FC" w:rsidRDefault="00B078FC">
      <w:pPr>
        <w:rPr>
          <w:b/>
          <w:bCs/>
        </w:rPr>
      </w:pPr>
      <w:r w:rsidRPr="00B078FC">
        <w:rPr>
          <w:b/>
          <w:bCs/>
        </w:rPr>
        <w:t>Github tutorial</w:t>
      </w:r>
    </w:p>
    <w:p w14:paraId="6CA516EE" w14:textId="77777777" w:rsidR="00B078FC" w:rsidRDefault="00B078FC"/>
    <w:p w14:paraId="62C8DD02" w14:textId="442222FD" w:rsidR="005658F7" w:rsidRDefault="007C5B2C">
      <w:r>
        <w:t>This is a test to see if referencing works. Here I cite my papers</w:t>
      </w:r>
    </w:p>
    <w:p w14:paraId="7817BD46" w14:textId="4D39E083" w:rsidR="007C5B2C" w:rsidRDefault="007C5B2C">
      <w:r>
        <w:fldChar w:fldCharType="begin" w:fldLock="1"/>
      </w:r>
      <w:r>
        <w:instrText>ADDIN CSL_CITATION {"citationItems":[{"id":"ITEM-1","itemData":{"DOI":"10.3390/w14132121","ISBN":"2073-4441","abstract":"The variability of the rainfall stable isotopic values (&amp;delta;2Hp, &amp;delta;18Op) in the Ecuadorian Amazon to the Andes presents a marked local &amp;ldquo;altitude&amp;rdquo; effect. At the same time, this complex orography creates diverse precipitation regimes (unimodal, bimodal, and three-modal) that make it difficult to establish a relationship with the local amount. Nevertheless, stations along these regions show a similar intra-annual isotopic variability, with lower values during MAM and ON. In contrast, higher values are found during DJF and JAS in a w-shaped pattern, suggesting a common regional controller. A monthly &amp;delta;2Hp and &amp;delta;18Op collection campaign was established in Central Ecuador (n = 30) to complement stations biased towards the northern and southern parts. Based on back trajectory analysis, the results demonstrated that moisture arrives from two primary sources: the Tropical North Atlantic (DJFM) and the Amazon Basin (JAS). Nevertheless, their convergence (AMJ and ON) is the crucial factor modulating the lowest isotopic values. Precisely, this convergence is stronger at the V-Index region (5&amp;deg; S&amp;ndash;5&amp;deg; N, 65&amp;deg;&amp;ndash;75&amp;deg; W), where the wind seasonality and reversal at low levels are enhanced, allowing the inter-hemispheric moisture flux transport (cross-equatorial flow). We propose that the amount of rainfall located at the V-Index region is a more robust approach for explaining the &amp;delta;2Hp and &amp;delta;18Op variability rather than the local amount.","author":[{"dropping-particle":"","family":"Vargas","given":"Danny","non-dropping-particle":"","parse-names":false,"suffix":""},{"dropping-particle":"","family":"Chimborazo","given":"Oscar","non-dropping-particle":"","parse-names":false,"suffix":""},{"dropping-particle":"","family":"László","given":"Elemér","non-dropping-particle":"","parse-names":false,"suffix":""},{"dropping-particle":"","family":"Temovski","given":"Marjan","non-dropping-particle":"","parse-names":false,"suffix":""},{"dropping-particle":"","family":"Palcsu","given":"László","non-dropping-particle":"","parse-names":false,"suffix":""}],"container-title":"Water","id":"ITEM-1","issue":"13","issued":{"date-parts":[["2022"]]},"title":"Rainwater Isotopic Composition in the Ecuadorian Andes and Amazon Reflects Cross-Equatorial Flow Seasonality","type":"article","volume":"14"},"uris":["http://www.mendeley.com/documents/?uuid=96803519-f40b-477d-81c5-5a017241b435"]}],"mendeley":{"formattedCitation":"(Vargas et al., 2022)","plainTextFormattedCitation":"(Vargas et al., 2022)","previouslyFormattedCitation":"(Vargas et al., 2022)"},"properties":{"noteIndex":0},"schema":"https://github.com/citation-style-language/schema/raw/master/csl-citation.json"}</w:instrText>
      </w:r>
      <w:r>
        <w:fldChar w:fldCharType="separate"/>
      </w:r>
      <w:r w:rsidRPr="007C5B2C">
        <w:t>(Vargas et al., 2022)</w:t>
      </w:r>
      <w:r>
        <w:fldChar w:fldCharType="end"/>
      </w:r>
      <w:r>
        <w:t xml:space="preserve"> and sheila’s </w:t>
      </w:r>
      <w:r>
        <w:fldChar w:fldCharType="begin" w:fldLock="1"/>
      </w:r>
      <w:r>
        <w:instrText>ADDIN CSL_CITATION {"citationItems":[{"id":"ITEM-1","itemData":{"DOI":"10.17163/uni.n12.2010.07","ISSN":"1390-8634","abstract":"El impresionante aumento del poder de cálculo de los computadores, desde los años sesenta, ha revolucionado todos los ámbitos de nuestro vivir. La investigación científica ha sido una de las principales beneficiadas logrando, a través del modelamiento numérico, estudios que antes parecían tareas interminablemente largas o caras; imposibles para países en vías de desarrollo como el nuestro. Es claro que la investigación científica desarrollada antes del aparecimiento de los ordenadores fue un privilegio de los países llamados \"del primer mundo\" claro, con contadas excepciones, que aunque pocas, sí sentaron un precedente de la capacidad científica de nuestros pueblos. Ahora que disponemos de supercomputadores, redes avanzadas, sistemas operativos libres y una predisposición mundial que apoya incondicionalmente al quehacer científico, la perspectiva de la investigación en Ecuador se expande enormemente. Los recursos computacionales de investigación, sumados a los datos y a los científicos conocedores de las ecuaciones que gobiernan los fenómenos naturales, son los ingredientes muchas veces suficientes para iniciar un proyecto de investigación en modelamiento científico.","author":[{"dropping-particle":"","family":"Serrano","given":"Sheila","non-dropping-particle":"","parse-names":false,"suffix":""},{"dropping-particle":"","family":"Araujo","given":"Sebastián","non-dropping-particle":"","parse-names":false,"suffix":""},{"dropping-particle":"","family":"Palacios","given":"Enrique","non-dropping-particle":"","parse-names":false,"suffix":""},{"dropping-particle":"","family":"Núñez","given":"Patricio","non-dropping-particle":"","parse-names":false,"suffix":""}],"container-title":"Universitas","id":"ITEM-1","issue":"12","issued":{"date-parts":[["2011","1","1"]]},"page":"155","title":"Modelos numérico-computacionales: su aplicación atmosférica y sísmatica","type":"article-journal"},"uris":["http://www.mendeley.com/documents/?uuid=7dd2d960-796d-4535-ad34-48c434227982"]}],"mendeley":{"formattedCitation":"(Serrano et al., 2011)","plainTextFormattedCitation":"(Serrano et al., 2011)","previouslyFormattedCitation":"(Serrano et al., 2011)"},"properties":{"noteIndex":0},"schema":"https://github.com/citation-style-language/schema/raw/master/csl-citation.json"}</w:instrText>
      </w:r>
      <w:r>
        <w:fldChar w:fldCharType="separate"/>
      </w:r>
      <w:r w:rsidRPr="007C5B2C">
        <w:t>(Serrano et al., 2011)</w:t>
      </w:r>
      <w:r>
        <w:fldChar w:fldCharType="end"/>
      </w:r>
      <w:r>
        <w:t>.</w:t>
      </w:r>
    </w:p>
    <w:p w14:paraId="7E9D93EC" w14:textId="77777777" w:rsidR="007C5B2C" w:rsidRDefault="007C5B2C"/>
    <w:p w14:paraId="1687F4A9" w14:textId="3965737C" w:rsidR="007C5B2C" w:rsidRDefault="007C5B2C">
      <w:r>
        <w:t>References</w:t>
      </w:r>
    </w:p>
    <w:p w14:paraId="2FDFC5ED" w14:textId="2F698AFF" w:rsidR="007C5B2C" w:rsidRPr="00B078FC" w:rsidRDefault="007C5B2C" w:rsidP="007C5B2C">
      <w:pPr>
        <w:widowControl w:val="0"/>
        <w:autoSpaceDE w:val="0"/>
        <w:autoSpaceDN w:val="0"/>
        <w:adjustRightInd w:val="0"/>
        <w:spacing w:line="240" w:lineRule="auto"/>
        <w:ind w:left="480" w:hanging="480"/>
        <w:rPr>
          <w:rFonts w:ascii="Aptos" w:hAnsi="Aptos" w:cs="Times New Roman"/>
          <w:kern w:val="0"/>
          <w:lang w:val="es-ES"/>
        </w:rPr>
      </w:pPr>
      <w:r>
        <w:fldChar w:fldCharType="begin" w:fldLock="1"/>
      </w:r>
      <w:r>
        <w:instrText xml:space="preserve">ADDIN Mendeley Bibliography CSL_BIBLIOGRAPHY </w:instrText>
      </w:r>
      <w:r>
        <w:fldChar w:fldCharType="separate"/>
      </w:r>
      <w:r w:rsidRPr="007C5B2C">
        <w:rPr>
          <w:rFonts w:ascii="Aptos" w:hAnsi="Aptos" w:cs="Times New Roman"/>
          <w:kern w:val="0"/>
        </w:rPr>
        <w:t xml:space="preserve">Serrano, S., Araujo, S., Palacios, E., &amp; Núñez, P. (2011). </w:t>
      </w:r>
      <w:r w:rsidRPr="00B078FC">
        <w:rPr>
          <w:rFonts w:ascii="Aptos" w:hAnsi="Aptos" w:cs="Times New Roman"/>
          <w:kern w:val="0"/>
          <w:lang w:val="es-ES"/>
        </w:rPr>
        <w:t xml:space="preserve">Modelos numérico-computacionales: su aplicación atmosférica y sísmatica. </w:t>
      </w:r>
      <w:r w:rsidRPr="00B078FC">
        <w:rPr>
          <w:rFonts w:ascii="Aptos" w:hAnsi="Aptos" w:cs="Times New Roman"/>
          <w:i/>
          <w:iCs/>
          <w:kern w:val="0"/>
          <w:lang w:val="es-ES"/>
        </w:rPr>
        <w:t>Universitas</w:t>
      </w:r>
      <w:r w:rsidRPr="00B078FC">
        <w:rPr>
          <w:rFonts w:ascii="Aptos" w:hAnsi="Aptos" w:cs="Times New Roman"/>
          <w:kern w:val="0"/>
          <w:lang w:val="es-ES"/>
        </w:rPr>
        <w:t xml:space="preserve">, </w:t>
      </w:r>
      <w:r w:rsidRPr="00B078FC">
        <w:rPr>
          <w:rFonts w:ascii="Aptos" w:hAnsi="Aptos" w:cs="Times New Roman"/>
          <w:i/>
          <w:iCs/>
          <w:kern w:val="0"/>
          <w:lang w:val="es-ES"/>
        </w:rPr>
        <w:t>12</w:t>
      </w:r>
      <w:r w:rsidRPr="00B078FC">
        <w:rPr>
          <w:rFonts w:ascii="Aptos" w:hAnsi="Aptos" w:cs="Times New Roman"/>
          <w:kern w:val="0"/>
          <w:lang w:val="es-ES"/>
        </w:rPr>
        <w:t>, 155. https://doi.org/10.17163/uni.n12.2010.07</w:t>
      </w:r>
    </w:p>
    <w:p w14:paraId="36B8DF6D" w14:textId="77777777" w:rsidR="007C5B2C" w:rsidRPr="007C5B2C" w:rsidRDefault="007C5B2C" w:rsidP="007C5B2C">
      <w:pPr>
        <w:widowControl w:val="0"/>
        <w:autoSpaceDE w:val="0"/>
        <w:autoSpaceDN w:val="0"/>
        <w:adjustRightInd w:val="0"/>
        <w:spacing w:line="240" w:lineRule="auto"/>
        <w:ind w:left="480" w:hanging="480"/>
        <w:rPr>
          <w:rFonts w:ascii="Aptos" w:hAnsi="Aptos"/>
        </w:rPr>
      </w:pPr>
      <w:r w:rsidRPr="00B078FC">
        <w:rPr>
          <w:rFonts w:ascii="Aptos" w:hAnsi="Aptos" w:cs="Times New Roman"/>
          <w:kern w:val="0"/>
          <w:lang w:val="es-ES"/>
        </w:rPr>
        <w:t xml:space="preserve">Vargas, D., Chimborazo, O., László, E., Temovski, M., &amp; Palcsu, L. (2022). </w:t>
      </w:r>
      <w:r w:rsidRPr="007C5B2C">
        <w:rPr>
          <w:rFonts w:ascii="Aptos" w:hAnsi="Aptos" w:cs="Times New Roman"/>
          <w:kern w:val="0"/>
        </w:rPr>
        <w:t xml:space="preserve">Rainwater Isotopic Composition in the Ecuadorian Andes and Amazon Reflects Cross-Equatorial Flow Seasonality. In </w:t>
      </w:r>
      <w:r w:rsidRPr="007C5B2C">
        <w:rPr>
          <w:rFonts w:ascii="Aptos" w:hAnsi="Aptos" w:cs="Times New Roman"/>
          <w:i/>
          <w:iCs/>
          <w:kern w:val="0"/>
        </w:rPr>
        <w:t>Water</w:t>
      </w:r>
      <w:r w:rsidRPr="007C5B2C">
        <w:rPr>
          <w:rFonts w:ascii="Aptos" w:hAnsi="Aptos" w:cs="Times New Roman"/>
          <w:kern w:val="0"/>
        </w:rPr>
        <w:t xml:space="preserve"> (Vol. 14, Issue 13). https://doi.org/10.3390/w14132121</w:t>
      </w:r>
    </w:p>
    <w:p w14:paraId="62EC5D9A" w14:textId="67908C76" w:rsidR="007C5B2C" w:rsidRDefault="007C5B2C">
      <w:r>
        <w:fldChar w:fldCharType="end"/>
      </w:r>
    </w:p>
    <w:sectPr w:rsidR="007C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7C"/>
    <w:rsid w:val="000C58A2"/>
    <w:rsid w:val="003C4CCB"/>
    <w:rsid w:val="005658F7"/>
    <w:rsid w:val="007C5B2C"/>
    <w:rsid w:val="00B078FC"/>
    <w:rsid w:val="00D2207C"/>
    <w:rsid w:val="00DA0FC5"/>
    <w:rsid w:val="00FE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373E"/>
  <w15:chartTrackingRefBased/>
  <w15:docId w15:val="{BC0103BB-4B15-48DE-988B-8580727A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2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7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2207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2207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2207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2207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2207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2207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2207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2207C"/>
    <w:rPr>
      <w:rFonts w:eastAsiaTheme="majorEastAsia" w:cstheme="majorBidi"/>
      <w:noProof/>
      <w:color w:val="272727" w:themeColor="text1" w:themeTint="D8"/>
    </w:rPr>
  </w:style>
  <w:style w:type="paragraph" w:styleId="Title">
    <w:name w:val="Title"/>
    <w:basedOn w:val="Normal"/>
    <w:next w:val="Normal"/>
    <w:link w:val="TitleChar"/>
    <w:uiPriority w:val="10"/>
    <w:qFormat/>
    <w:rsid w:val="00D2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7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2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7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2207C"/>
    <w:pPr>
      <w:spacing w:before="160"/>
      <w:jc w:val="center"/>
    </w:pPr>
    <w:rPr>
      <w:i/>
      <w:iCs/>
      <w:color w:val="404040" w:themeColor="text1" w:themeTint="BF"/>
    </w:rPr>
  </w:style>
  <w:style w:type="character" w:customStyle="1" w:styleId="QuoteChar">
    <w:name w:val="Quote Char"/>
    <w:basedOn w:val="DefaultParagraphFont"/>
    <w:link w:val="Quote"/>
    <w:uiPriority w:val="29"/>
    <w:rsid w:val="00D2207C"/>
    <w:rPr>
      <w:i/>
      <w:iCs/>
      <w:noProof/>
      <w:color w:val="404040" w:themeColor="text1" w:themeTint="BF"/>
    </w:rPr>
  </w:style>
  <w:style w:type="paragraph" w:styleId="ListParagraph">
    <w:name w:val="List Paragraph"/>
    <w:basedOn w:val="Normal"/>
    <w:uiPriority w:val="34"/>
    <w:qFormat/>
    <w:rsid w:val="00D2207C"/>
    <w:pPr>
      <w:ind w:left="720"/>
      <w:contextualSpacing/>
    </w:pPr>
  </w:style>
  <w:style w:type="character" w:styleId="IntenseEmphasis">
    <w:name w:val="Intense Emphasis"/>
    <w:basedOn w:val="DefaultParagraphFont"/>
    <w:uiPriority w:val="21"/>
    <w:qFormat/>
    <w:rsid w:val="00D2207C"/>
    <w:rPr>
      <w:i/>
      <w:iCs/>
      <w:color w:val="0F4761" w:themeColor="accent1" w:themeShade="BF"/>
    </w:rPr>
  </w:style>
  <w:style w:type="paragraph" w:styleId="IntenseQuote">
    <w:name w:val="Intense Quote"/>
    <w:basedOn w:val="Normal"/>
    <w:next w:val="Normal"/>
    <w:link w:val="IntenseQuoteChar"/>
    <w:uiPriority w:val="30"/>
    <w:qFormat/>
    <w:rsid w:val="00D2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7C"/>
    <w:rPr>
      <w:i/>
      <w:iCs/>
      <w:noProof/>
      <w:color w:val="0F4761" w:themeColor="accent1" w:themeShade="BF"/>
    </w:rPr>
  </w:style>
  <w:style w:type="character" w:styleId="IntenseReference">
    <w:name w:val="Intense Reference"/>
    <w:basedOn w:val="DefaultParagraphFont"/>
    <w:uiPriority w:val="32"/>
    <w:qFormat/>
    <w:rsid w:val="00D22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B558-B828-4F14-B9C0-F2EED156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Vargas</dc:creator>
  <cp:keywords/>
  <dc:description/>
  <cp:lastModifiedBy>Danny Vargas</cp:lastModifiedBy>
  <cp:revision>3</cp:revision>
  <dcterms:created xsi:type="dcterms:W3CDTF">2025-05-19T08:33:00Z</dcterms:created>
  <dcterms:modified xsi:type="dcterms:W3CDTF">2025-05-19T08:43:00Z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05a1d746-4c57-3059-b672-4dccd56622dc</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http://www.zotero.org/styles/frontiers</vt:lpwstr>
  </property>
  <property fmtid="{D5CDD505-2E9C-101B-9397-08002B2CF9AE}" pid="14" name="Mendeley Recent Style Name 4_1">
    <vt:lpwstr>Frontiers journals</vt:lpwstr>
  </property>
  <property fmtid="{D5CDD505-2E9C-101B-9397-08002B2CF9AE}" pid="15" name="Mendeley Recent Style Id 5_1">
    <vt:lpwstr>http://www.zotero.org/styles/global-and-planetary-change</vt:lpwstr>
  </property>
  <property fmtid="{D5CDD505-2E9C-101B-9397-08002B2CF9AE}" pid="16" name="Mendeley Recent Style Name 5_1">
    <vt:lpwstr>Global and Planetary Change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