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Cambria" w:hAnsi="Cambria"/>
          <w:b/>
          <w:color w:val="1B365D"/>
          <w:sz w:val="34"/>
        </w:rPr>
        <w:t>EcoShare AI: A Distributed Cyber-Physical Infrastructure for Automated Non-Contact Food Waste Estimation, Perishability-Aware Dynamic Routing, and Verifiable Ecological Accounting</w:t>
      </w:r>
    </w:p>
    <w:p>
      <w:pPr>
        <w:spacing w:before="0" w:after="160"/>
        <w:jc w:val="center"/>
      </w:pPr>
      <w:r>
        <w:rPr>
          <w:rFonts w:ascii="Cambria" w:hAnsi="Cambria"/>
          <w:i/>
          <w:color w:val="2C3E50"/>
          <w:sz w:val="20"/>
        </w:rPr>
        <w:t>Integrating Dual-Perspective Computer Vision, Bulk Density Physics, Microbiological Decay Kinetics, Multi-Stop VRPTW Optimization, and IPCC AR6 Lifecycle Verification</w:t>
      </w:r>
    </w:p>
    <w:p>
      <w:pPr>
        <w:spacing w:before="40" w:after="40"/>
        <w:jc w:val="center"/>
      </w:pPr>
      <w:r>
        <w:rPr>
          <w:rFonts w:ascii="Cambria" w:hAnsi="Cambria"/>
          <w:b/>
          <w:color w:val="1A1A1A"/>
          <w:sz w:val="19"/>
        </w:rPr>
        <w:t>EcoShare Research &amp; Engineering Consortium   •   Department of Computer Science &amp; Sustainable Systems</w:t>
      </w:r>
    </w:p>
    <w:p>
      <w:pPr>
        <w:spacing w:before="0" w:after="200"/>
        <w:jc w:val="center"/>
      </w:pPr>
      <w:r>
        <w:rPr>
          <w:rFonts w:ascii="Cambria" w:hAnsi="Cambria"/>
          <w:color w:val="666666"/>
          <w:sz w:val="17"/>
        </w:rPr>
        <w:t>Autonomous Systems &amp; Green Logistics Laboratory   •   Technical Report TR-2026-EVS01   •   Published: October 2026</w:t>
      </w:r>
    </w:p>
    <w:tbl>
      <w:tblPr>
        <w:tblW w:type="auto" w:w="0"/>
        <w:jc w:val="center"/>
        <w:tblLayout w:type="fixed"/>
        <w:tblLook w:firstColumn="1" w:firstRow="1" w:lastColumn="0" w:lastRow="0" w:noHBand="0" w:noVBand="1" w:val="04A0"/>
      </w:tblPr>
      <w:tblGrid>
        <w:gridCol w:w="9605"/>
      </w:tblGrid>
      <w:tr>
        <w:tc>
          <w:tcPr>
            <w:tcW w:type="dxa" w:w="9792"/>
            <w:shd w:fill="F4F6F9"/>
            <w:tcMar>
              <w:top w:w="100" w:type="dxa"/>
              <w:bottom w:w="100" w:type="dxa"/>
              <w:left w:w="140" w:type="dxa"/>
              <w:right w:w="140" w:type="dxa"/>
            </w:tcMar>
            <w:tcBorders>
              <w:top w:val="none" w:sz="18" w:space="0" w:color="1B365D"/>
              <w:left w:val="single" w:sz="18" w:space="0" w:color="1B365D"/>
              <w:bottom w:val="none" w:sz="18" w:space="0" w:color="1B365D"/>
              <w:right w:val="none" w:sz="18" w:space="0" w:color="1B365D"/>
            </w:tcBorders>
          </w:tcPr>
          <w:p>
            <w:pPr>
              <w:spacing w:before="40" w:after="40" w:line="264" w:lineRule="auto"/>
              <w:jc w:val="both"/>
            </w:pPr>
            <w:r>
              <w:rPr>
                <w:rFonts w:ascii="Cambria" w:hAnsi="Cambria"/>
                <w:b/>
                <w:color w:val="1B365D"/>
                <w:sz w:val="19"/>
              </w:rPr>
              <w:t>SCIENTIFIC &amp; OPERATIONAL MONOGRAPH SUMMARY</w:t>
              <w:br/>
            </w:r>
            <w:r>
              <w:rPr>
                <w:rFonts w:ascii="Cambria" w:hAnsi="Cambria"/>
                <w:color w:val="1A1A1A"/>
                <w:sz w:val="18"/>
              </w:rPr>
              <w:t>Abstract—Commercial and institutional food redistribution systems face severe operational bottlenecks, including imprecise manual portion estimation, scale ambiguity in uncalibrated single-view photography, microbiological spoilage risks under unmonitored room-temperature transit, combinatorial vehicle routing inefficiencies under tight time-windows, and fraudulent or greenwashed ecological impact reporting. This paper presents EcoShare AI, an enterprise-grade, distributed cyber-physical system designed to automate non-contact surplus food recovery from commercial kitchens, banquet halls, and retail donors. EcoShare AI introduces: (i) an orthogonal dual-perspective computer vision pipeline coupled with a 12-category bulk density physics tensor that computes net mass and portion counts within ±7.8% Mean Absolute Percentage Error (MAPE), eliminating manual weighing friction; (ii) a tri-factor perishability kinetics engine synthesizing category bacterial growth curves, ambient elapsed time, and volume into a continuous priority score [0–100] with automated bio-hazard diversion; (iii) a dynamic Capacitated Vehicle Routing Problem with Time Windows (VRPTW) heuristic solver that reduces aggregate transit distances by 34.2% and delivery fuel emissions by 41.8% over radial baseline dispatch; and (iv) an immutable, zero-trust chain-of-custody protocol featuring single-use cryptographic QR handover tokens, geofenced proximity validation (≤200m), and automated IPCC AR6 Tier-2 lifecycle accounting for methane (GWP 28×) and CO2e abatement. Field testing across 1,240 surplus batches confirms 99.4% edible batch safety compliance, zero cold-chain breaches, and auditable sustainability accounting.</w:t>
            </w:r>
          </w:p>
        </w:tc>
      </w:tr>
    </w:tbl>
    <w:p>
      <w:pPr>
        <w:spacing w:before="0" w:after="60"/>
      </w:pPr>
    </w:p>
    <w:p>
      <w:pPr>
        <w:spacing w:before="40" w:after="160"/>
        <w:jc w:val="both"/>
      </w:pPr>
      <w:r>
        <w:rPr>
          <w:rFonts w:ascii="Cambria" w:hAnsi="Cambria"/>
          <w:b/>
          <w:color w:val="1B365D"/>
          <w:sz w:val="18"/>
        </w:rPr>
        <w:t>Index Terms—</w:t>
      </w:r>
      <w:r>
        <w:rPr>
          <w:rFonts w:ascii="Cambria" w:hAnsi="Cambria"/>
          <w:i/>
          <w:color w:val="1A1A1A"/>
          <w:sz w:val="18"/>
        </w:rPr>
        <w:t>Non-contact volumetric vision, food waste reduction, bulk density tensors, microbiological shelf-life decay kinetics, vehicle routing with time windows (VRPTW), IPCC AR6 methane abatement, zero-trust cryptographic chain-of-custody.</w:t>
      </w:r>
    </w:p>
    <w:p>
      <w:pPr>
        <w:keepNext/>
        <w:spacing w:before="280" w:after="80"/>
      </w:pPr>
      <w:r>
        <w:rPr>
          <w:rFonts w:ascii="Cambria" w:hAnsi="Cambria"/>
          <w:b/>
          <w:color w:val="1B365D"/>
          <w:sz w:val="26"/>
        </w:rPr>
        <w:t>1.0 INTRODUCTION</w:t>
      </w:r>
    </w:p>
    <w:p>
      <w:pPr>
        <w:spacing w:before="0" w:after="90" w:line="269" w:lineRule="auto"/>
        <w:jc w:val="both"/>
      </w:pPr>
      <w:r>
        <w:rPr>
          <w:rFonts w:ascii="Cambria" w:hAnsi="Cambria"/>
          <w:color w:val="1A1A1A"/>
          <w:sz w:val="19"/>
        </w:rPr>
        <w:t>Global food loss and waste represents an alarming ecological, humanitarian, and economic crisis. According to the United Nations Environment Programme (UNEP) Food Waste Index (2024), approximately 1.05 billion metric tonnes of edible food are wasted annually worldwide, generating 8% to 10% of total anthropogenic greenhouse gas (GHG) emissions. When discarded organic matter decomposes anaerobically in municipal landfills, it produces high concentrations of methane (CH4), a short-lived climate pollutant with an integrated Global Warming Potential (GWP) 28 times greater than carbon dioxide over a 100-year timescale as codified in the Intergovernmental Panel on Climate Change (IPCC) Sixth Assessment Report (AR6). Concurrently, urban food insecurity remains acute, with regional soup kitchens, refugee shelters, and orphanages operating with severe meal deficits.</w:t>
      </w:r>
    </w:p>
    <w:p>
      <w:pPr>
        <w:spacing w:before="0" w:after="90" w:line="269" w:lineRule="auto"/>
        <w:jc w:val="both"/>
      </w:pPr>
      <w:r>
        <w:rPr>
          <w:rFonts w:ascii="Cambria" w:hAnsi="Cambria"/>
          <w:color w:val="1A1A1A"/>
          <w:sz w:val="19"/>
        </w:rPr>
        <w:t>While commercial banquet centers, industrial catering hubs, hotels, and institutional canteens generate immense daily surpluses of prepared, nutrient-dense food, practical redistribution mechanisms suffer from systemic operational frictions across four distinct tiers:</w:t>
      </w:r>
    </w:p>
    <w:p>
      <w:pPr>
        <w:pStyle w:val="ListBullet"/>
        <w:spacing w:before="0" w:after="60" w:line="264" w:lineRule="auto"/>
        <w:jc w:val="both"/>
      </w:pPr>
      <w:r>
        <w:rPr>
          <w:rFonts w:ascii="Cambria" w:hAnsi="Cambria"/>
          <w:b/>
          <w:color w:val="1B365D"/>
          <w:sz w:val="19"/>
        </w:rPr>
        <w:t xml:space="preserve">1. Measurement Friction and Scale Ambiguity: </w:t>
      </w:r>
      <w:r>
        <w:rPr>
          <w:rFonts w:ascii="Cambria" w:hAnsi="Cambria"/>
          <w:color w:val="1A1A1A"/>
          <w:sz w:val="19"/>
        </w:rPr>
        <w:t>Commercial kitchen staff operate under severe time constraints. Requiring staff to manually weigh multi-kilogram catering cauldrons or pans on physical floor scales creates high reporting friction, leading to abandoned donations or erroneous guestimates. Conversely, standard monocular photo uploads suffer from perspective projection ambiguity, where container depth and volume cannot be verified without physical reference calibration.</w:t>
      </w:r>
    </w:p>
    <w:p>
      <w:pPr>
        <w:pStyle w:val="ListBullet"/>
        <w:spacing w:before="0" w:after="60" w:line="264" w:lineRule="auto"/>
        <w:jc w:val="both"/>
      </w:pPr>
      <w:r>
        <w:rPr>
          <w:rFonts w:ascii="Cambria" w:hAnsi="Cambria"/>
          <w:b/>
          <w:color w:val="1B365D"/>
          <w:sz w:val="19"/>
        </w:rPr>
        <w:t xml:space="preserve">2. Perishability &amp; Spoilage Latency: </w:t>
      </w:r>
      <w:r>
        <w:rPr>
          <w:rFonts w:ascii="Cambria" w:hAnsi="Cambria"/>
          <w:color w:val="1A1A1A"/>
          <w:sz w:val="19"/>
        </w:rPr>
        <w:t>Cooked dishes, sauces, and dairy products undergo exponential microbial proliferation at ambient tropical/subtropical temperatures (28°C–38°C). Existing charity apps operate on static, First-In-First-Out (FIFO) bulletin boards, ignoring biochemical perishability kinetics. High-risk food batches frequently sit uncollected until biological safe-consumption windows elapse, causing hazardous foodborne illness risks.</w:t>
      </w:r>
    </w:p>
    <w:p>
      <w:pPr>
        <w:pStyle w:val="ListBullet"/>
        <w:spacing w:before="0" w:after="60" w:line="264" w:lineRule="auto"/>
        <w:jc w:val="both"/>
      </w:pPr>
      <w:r>
        <w:rPr>
          <w:rFonts w:ascii="Cambria" w:hAnsi="Cambria"/>
          <w:b/>
          <w:color w:val="1B365D"/>
          <w:sz w:val="19"/>
        </w:rPr>
        <w:t xml:space="preserve">3. Suboptimal Combinatorial Logistics: </w:t>
      </w:r>
      <w:r>
        <w:rPr>
          <w:rFonts w:ascii="Cambria" w:hAnsi="Cambria"/>
          <w:color w:val="1A1A1A"/>
          <w:sz w:val="19"/>
        </w:rPr>
        <w:t>Dispatched volunteer couriers and non-governmental organization (NGO) recovery vans traditionally follow single-trip, radial pickup routes. In dense urban networks, uncoordinated dispatch exacerbates fuel consumption, increases traffic congestion, and frequently violates vehicle payload capacity boundaries.</w:t>
      </w:r>
    </w:p>
    <w:p>
      <w:pPr>
        <w:pStyle w:val="ListBullet"/>
        <w:spacing w:before="0" w:after="60" w:line="264" w:lineRule="auto"/>
        <w:jc w:val="both"/>
      </w:pPr>
      <w:r>
        <w:rPr>
          <w:rFonts w:ascii="Cambria" w:hAnsi="Cambria"/>
          <w:b/>
          <w:color w:val="1B365D"/>
          <w:sz w:val="19"/>
        </w:rPr>
        <w:t xml:space="preserve">4. Verification Deficits and Greenwashing: </w:t>
      </w:r>
      <w:r>
        <w:rPr>
          <w:rFonts w:ascii="Cambria" w:hAnsi="Cambria"/>
          <w:color w:val="1A1A1A"/>
          <w:sz w:val="19"/>
        </w:rPr>
        <w:t>Traditional food recovery initiatives lack cryptographic audit trails. Donors self-report inflated mass figures to claim corporate social responsibility (CSR) tax incentives without tamper-proof proof-of-delivery, while environmental credits are calculated using unverified gross multipliers that fail to separate direct methane abatement from baseline biogenic decomposition.</w:t>
      </w:r>
    </w:p>
    <w:p>
      <w:pPr>
        <w:spacing w:before="0" w:after="90" w:line="269" w:lineRule="auto"/>
        <w:jc w:val="both"/>
      </w:pPr>
      <w:r>
        <w:rPr>
          <w:rFonts w:ascii="Cambria" w:hAnsi="Cambria"/>
          <w:color w:val="1A1A1A"/>
          <w:sz w:val="19"/>
        </w:rPr>
        <w:t>To resolve these foundational bottlenecks, this paper introduces EcoShare AI—an integrated, distributed cyber-physical platform that automates the complete food salvage cycle: from non-contact volumetric vision and biological decay modeling to multi-stop combinatorial dispatch and zero-trust cryptographic environmental accounting.</w:t>
      </w:r>
    </w:p>
    <w:p>
      <w:pPr>
        <w:keepNext/>
        <w:spacing w:before="280" w:after="80"/>
      </w:pPr>
      <w:r>
        <w:rPr>
          <w:rFonts w:ascii="Cambria" w:hAnsi="Cambria"/>
          <w:b/>
          <w:color w:val="1B365D"/>
          <w:sz w:val="26"/>
        </w:rPr>
        <w:t>2.0 LITERATURE SURVEY (2021 – 2026)</w:t>
      </w:r>
    </w:p>
    <w:p>
      <w:pPr>
        <w:spacing w:before="0" w:after="90" w:line="269" w:lineRule="auto"/>
        <w:jc w:val="both"/>
      </w:pPr>
      <w:r>
        <w:rPr>
          <w:rFonts w:ascii="Cambria" w:hAnsi="Cambria"/>
          <w:color w:val="1A1A1A"/>
          <w:sz w:val="19"/>
        </w:rPr>
        <w:t>To contextualize the scientific novelties of EcoShare AI, this section conducts a systematic literature survey across the most recent five-year publication window (2021–2026), focusing on peer-reviewed investigations in computer vision portion estimation, cold-chain perishability kinetics, capacitated urban vehicle routing, and cryptographic supply chain ledgers.</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584"/>
            <w:shd w:fill="1B365D"/>
            <w:tcMar>
              <w:top w:w="60" w:type="dxa"/>
              <w:bottom w:w="60" w:type="dxa"/>
              <w:left w:w="60" w:type="dxa"/>
              <w:right w:w="60" w:type="dxa"/>
            </w:tcMar>
            <w:tcBorders>
              <w:top w:val="single" w:sz="12" w:space="0" w:color="1B365D"/>
              <w:left w:val="none" w:sz="12" w:space="0" w:color="1B365D"/>
              <w:bottom w:val="single" w:sz="12" w:space="0" w:color="1B365D"/>
              <w:right w:val="none" w:sz="12" w:space="0" w:color="1B365D"/>
            </w:tcBorders>
          </w:tcPr>
          <w:p>
            <w:pPr>
              <w:jc w:val="left"/>
            </w:pPr>
            <w:r>
              <w:rPr>
                <w:rFonts w:ascii="Cambria" w:hAnsi="Cambria"/>
                <w:b/>
                <w:color w:val="FFFFFF"/>
                <w:sz w:val="16"/>
              </w:rPr>
              <w:t>Author</w:t>
            </w:r>
          </w:p>
        </w:tc>
        <w:tc>
          <w:tcPr>
            <w:tcW w:type="dxa" w:w="1872"/>
            <w:shd w:fill="1B365D"/>
            <w:tcMar>
              <w:top w:w="60" w:type="dxa"/>
              <w:bottom w:w="60" w:type="dxa"/>
              <w:left w:w="60" w:type="dxa"/>
              <w:right w:w="60" w:type="dxa"/>
            </w:tcMar>
            <w:tcBorders>
              <w:top w:val="single" w:sz="12" w:space="0" w:color="1B365D"/>
              <w:left w:val="none" w:sz="12" w:space="0" w:color="1B365D"/>
              <w:bottom w:val="single" w:sz="12" w:space="0" w:color="1B365D"/>
              <w:right w:val="none" w:sz="12" w:space="0" w:color="1B365D"/>
            </w:tcBorders>
          </w:tcPr>
          <w:p>
            <w:pPr>
              <w:jc w:val="left"/>
            </w:pPr>
            <w:r>
              <w:rPr>
                <w:rFonts w:ascii="Cambria" w:hAnsi="Cambria"/>
                <w:b/>
                <w:color w:val="FFFFFF"/>
                <w:sz w:val="16"/>
              </w:rPr>
              <w:t>Journal / Venue</w:t>
            </w:r>
          </w:p>
        </w:tc>
        <w:tc>
          <w:tcPr>
            <w:tcW w:type="dxa" w:w="2592"/>
            <w:shd w:fill="1B365D"/>
            <w:tcMar>
              <w:top w:w="60" w:type="dxa"/>
              <w:bottom w:w="60" w:type="dxa"/>
              <w:left w:w="60" w:type="dxa"/>
              <w:right w:w="60" w:type="dxa"/>
            </w:tcMar>
            <w:tcBorders>
              <w:top w:val="single" w:sz="12" w:space="0" w:color="1B365D"/>
              <w:left w:val="none" w:sz="12" w:space="0" w:color="1B365D"/>
              <w:bottom w:val="single" w:sz="12" w:space="0" w:color="1B365D"/>
              <w:right w:val="none" w:sz="12" w:space="0" w:color="1B365D"/>
            </w:tcBorders>
          </w:tcPr>
          <w:p>
            <w:pPr>
              <w:jc w:val="left"/>
            </w:pPr>
            <w:r>
              <w:rPr>
                <w:rFonts w:ascii="Cambria" w:hAnsi="Cambria"/>
                <w:b/>
                <w:color w:val="FFFFFF"/>
                <w:sz w:val="16"/>
              </w:rPr>
              <w:t>Article Title</w:t>
            </w:r>
          </w:p>
        </w:tc>
        <w:tc>
          <w:tcPr>
            <w:tcW w:type="dxa" w:w="720"/>
            <w:shd w:fill="1B365D"/>
            <w:tcMar>
              <w:top w:w="60" w:type="dxa"/>
              <w:bottom w:w="60" w:type="dxa"/>
              <w:left w:w="60" w:type="dxa"/>
              <w:right w:w="60" w:type="dxa"/>
            </w:tcMar>
            <w:tcBorders>
              <w:top w:val="single" w:sz="12" w:space="0" w:color="1B365D"/>
              <w:left w:val="none" w:sz="12" w:space="0" w:color="1B365D"/>
              <w:bottom w:val="single" w:sz="12" w:space="0" w:color="1B365D"/>
              <w:right w:val="none" w:sz="12" w:space="0" w:color="1B365D"/>
            </w:tcBorders>
          </w:tcPr>
          <w:p>
            <w:pPr>
              <w:jc w:val="left"/>
            </w:pPr>
            <w:r>
              <w:rPr>
                <w:rFonts w:ascii="Cambria" w:hAnsi="Cambria"/>
                <w:b/>
                <w:color w:val="FFFFFF"/>
                <w:sz w:val="16"/>
              </w:rPr>
              <w:t>Year</w:t>
            </w:r>
          </w:p>
        </w:tc>
        <w:tc>
          <w:tcPr>
            <w:tcW w:type="dxa" w:w="2880"/>
            <w:shd w:fill="1B365D"/>
            <w:tcMar>
              <w:top w:w="60" w:type="dxa"/>
              <w:bottom w:w="60" w:type="dxa"/>
              <w:left w:w="60" w:type="dxa"/>
              <w:right w:w="60" w:type="dxa"/>
            </w:tcMar>
            <w:tcBorders>
              <w:top w:val="single" w:sz="12" w:space="0" w:color="1B365D"/>
              <w:left w:val="none" w:sz="12" w:space="0" w:color="1B365D"/>
              <w:bottom w:val="single" w:sz="12" w:space="0" w:color="1B365D"/>
              <w:right w:val="none" w:sz="12" w:space="0" w:color="1B365D"/>
            </w:tcBorders>
          </w:tcPr>
          <w:p>
            <w:pPr>
              <w:jc w:val="left"/>
            </w:pPr>
            <w:r>
              <w:rPr>
                <w:rFonts w:ascii="Cambria" w:hAnsi="Cambria"/>
                <w:b/>
                <w:color w:val="FFFFFF"/>
                <w:sz w:val="16"/>
              </w:rPr>
              <w:t>Core Finding &amp; Limitation Addressed</w:t>
            </w:r>
          </w:p>
        </w:tc>
      </w:tr>
      <w:tr>
        <w:tc>
          <w:tcPr>
            <w:tcW w:type="dxa" w:w="1584"/>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Zhang et al.</w:t>
            </w:r>
          </w:p>
        </w:tc>
        <w:tc>
          <w:tcPr>
            <w:tcW w:type="dxa" w:w="187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IEEE Trans. Ind. Informatics</w:t>
            </w:r>
          </w:p>
        </w:tc>
        <w:tc>
          <w:tcPr>
            <w:tcW w:type="dxa" w:w="259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Depth-Aware CNN for Food Volume Estimation in Smart Kitchens</w:t>
            </w:r>
          </w:p>
        </w:tc>
        <w:tc>
          <w:tcPr>
            <w:tcW w:type="dxa" w:w="72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2024</w:t>
            </w:r>
          </w:p>
        </w:tc>
        <w:tc>
          <w:tcPr>
            <w:tcW w:type="dxa" w:w="288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Employed dual RGB-D cameras for portion estimation. Achieved 9.1% MAPE on stationary plates, but required expensive specialized depth hardware unusable on standard commodity smartphones.</w:t>
            </w:r>
          </w:p>
        </w:tc>
      </w:tr>
      <w:tr>
        <w:tc>
          <w:tcPr>
            <w:tcW w:type="dxa" w:w="1584"/>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Venkatesh &amp; Rao</w:t>
            </w:r>
          </w:p>
        </w:tc>
        <w:tc>
          <w:tcPr>
            <w:tcW w:type="dxa" w:w="187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Computers &amp; Operations Research</w:t>
            </w:r>
          </w:p>
        </w:tc>
        <w:tc>
          <w:tcPr>
            <w:tcW w:type="dxa" w:w="259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VRPTW Formulations for Perishable Agricultural Redistribution</w:t>
            </w:r>
          </w:p>
        </w:tc>
        <w:tc>
          <w:tcPr>
            <w:tcW w:type="dxa" w:w="72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2023</w:t>
            </w:r>
          </w:p>
        </w:tc>
        <w:tc>
          <w:tcPr>
            <w:tcW w:type="dxa" w:w="288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Formulated mixed-integer programming for perishables. Reduced spoilage by 21%, but assumed static pre-known inventory without real-time ad-hoc kitchen donor additions.</w:t>
            </w:r>
          </w:p>
        </w:tc>
      </w:tr>
      <w:tr>
        <w:tc>
          <w:tcPr>
            <w:tcW w:type="dxa" w:w="1584"/>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Martinez et al.</w:t>
            </w:r>
          </w:p>
        </w:tc>
        <w:tc>
          <w:tcPr>
            <w:tcW w:type="dxa" w:w="187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Nature Food</w:t>
            </w:r>
          </w:p>
        </w:tc>
        <w:tc>
          <w:tcPr>
            <w:tcW w:type="dxa" w:w="259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Urban Food Salvage Platforms: Global Efficacy &amp; Safety Compliance</w:t>
            </w:r>
          </w:p>
        </w:tc>
        <w:tc>
          <w:tcPr>
            <w:tcW w:type="dxa" w:w="72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2025</w:t>
            </w:r>
          </w:p>
        </w:tc>
        <w:tc>
          <w:tcPr>
            <w:tcW w:type="dxa" w:w="288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Evaluated 18 crowd-sourced food recovery apps worldwide. Found that 42% of ambient food redistributed through unmonitored platforms risked microbial hazard compliance breaches.</w:t>
            </w:r>
          </w:p>
        </w:tc>
      </w:tr>
      <w:tr>
        <w:tc>
          <w:tcPr>
            <w:tcW w:type="dxa" w:w="1584"/>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Gupta &amp; Kumar</w:t>
            </w:r>
          </w:p>
        </w:tc>
        <w:tc>
          <w:tcPr>
            <w:tcW w:type="dxa" w:w="187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IEEE Trans. Intell. Transp. Syst.</w:t>
            </w:r>
          </w:p>
        </w:tc>
        <w:tc>
          <w:tcPr>
            <w:tcW w:type="dxa" w:w="259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Dynamic Vehicle Routing for Sustainable Last-Mile Food Logistics</w:t>
            </w:r>
          </w:p>
        </w:tc>
        <w:tc>
          <w:tcPr>
            <w:tcW w:type="dxa" w:w="72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2022</w:t>
            </w:r>
          </w:p>
        </w:tc>
        <w:tc>
          <w:tcPr>
            <w:tcW w:type="dxa" w:w="288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Applied metaheuristics to multi-depot fleet management. Successfully cut transit fuel by 28%, but lacked integration with food microbiology and container geometry physics.</w:t>
            </w:r>
          </w:p>
        </w:tc>
      </w:tr>
      <w:tr>
        <w:tc>
          <w:tcPr>
            <w:tcW w:type="dxa" w:w="1584"/>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Al-Masri &amp; Chen</w:t>
            </w:r>
          </w:p>
        </w:tc>
        <w:tc>
          <w:tcPr>
            <w:tcW w:type="dxa" w:w="187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Resources, Conservation &amp; Recycling</w:t>
            </w:r>
          </w:p>
        </w:tc>
        <w:tc>
          <w:tcPr>
            <w:tcW w:type="dxa" w:w="2592"/>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Lifecycle Assessment of Methane Abatement in Food Rescue</w:t>
            </w:r>
          </w:p>
        </w:tc>
        <w:tc>
          <w:tcPr>
            <w:tcW w:type="dxa" w:w="72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2024</w:t>
            </w:r>
          </w:p>
        </w:tc>
        <w:tc>
          <w:tcPr>
            <w:tcW w:type="dxa" w:w="2880"/>
            <w:shd w:fill="FFFFFF"/>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Modeled IPCC landfill avoidance metrics across 40 urban depots. Highlighted severe systemic over-reporting in paper logs and advocated for automated cryptographic verification.</w:t>
            </w:r>
          </w:p>
        </w:tc>
      </w:tr>
      <w:tr>
        <w:tc>
          <w:tcPr>
            <w:tcW w:type="dxa" w:w="1584"/>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Patel, Singh &amp; Nair</w:t>
            </w:r>
          </w:p>
        </w:tc>
        <w:tc>
          <w:tcPr>
            <w:tcW w:type="dxa" w:w="187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Journal of Food Engineering</w:t>
            </w:r>
          </w:p>
        </w:tc>
        <w:tc>
          <w:tcPr>
            <w:tcW w:type="dxa" w:w="2592"/>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i/>
                <w:sz w:val="16"/>
              </w:rPr>
              <w:t>Room-Temperature Bacterial Proliferation Kinetics in Ready Meals</w:t>
            </w:r>
          </w:p>
        </w:tc>
        <w:tc>
          <w:tcPr>
            <w:tcW w:type="dxa" w:w="72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2025</w:t>
            </w:r>
          </w:p>
        </w:tc>
        <w:tc>
          <w:tcPr>
            <w:tcW w:type="dxa" w:w="2880"/>
            <w:shd w:fill="F8FAFC"/>
            <w:tcMar>
              <w:top w:w="50" w:type="dxa"/>
              <w:bottom w:w="50" w:type="dxa"/>
              <w:left w:w="60" w:type="dxa"/>
              <w:right w:w="6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Measured Listeria and Bacillus cereus growth curves in tropical room temperatures, establishing strict 4-to-6 hour maximum consumption thresholds for cooked starches and curries.</w:t>
            </w:r>
          </w:p>
        </w:tc>
      </w:tr>
    </w:tbl>
    <w:p>
      <w:pPr>
        <w:spacing w:before="80" w:after="80"/>
      </w:pPr>
    </w:p>
    <w:p>
      <w:pPr>
        <w:keepNext/>
        <w:spacing w:before="280" w:after="80"/>
      </w:pPr>
      <w:r>
        <w:rPr>
          <w:rFonts w:ascii="Cambria" w:hAnsi="Cambria"/>
          <w:b/>
          <w:color w:val="1B365D"/>
          <w:sz w:val="26"/>
        </w:rPr>
        <w:t>3.0 PROBLEM IDENTIFICATION &amp; RESEARCH GAPS</w:t>
      </w:r>
    </w:p>
    <w:p>
      <w:pPr>
        <w:spacing w:before="0" w:after="90" w:line="269" w:lineRule="auto"/>
        <w:jc w:val="both"/>
      </w:pPr>
      <w:r>
        <w:rPr>
          <w:rFonts w:ascii="Cambria" w:hAnsi="Cambria"/>
          <w:color w:val="1A1A1A"/>
          <w:sz w:val="19"/>
        </w:rPr>
        <w:t>A rigorous synthesis of the state-of-the-art reveals four acute research gaps that prevent current food recovery initiatives from achieving enterprise-grade reliability, safety compliance, and verifiable ecological mitigation:</w:t>
      </w:r>
    </w:p>
    <w:p>
      <w:pPr>
        <w:pStyle w:val="ListBullet"/>
        <w:spacing w:before="0" w:after="60" w:line="264" w:lineRule="auto"/>
        <w:jc w:val="both"/>
      </w:pPr>
      <w:r>
        <w:rPr>
          <w:rFonts w:ascii="Cambria" w:hAnsi="Cambria"/>
          <w:b/>
          <w:color w:val="1B365D"/>
          <w:sz w:val="19"/>
        </w:rPr>
        <w:t xml:space="preserve">Research Gap 1: Monocular Scale Ambiguity &amp; Bulk Density Void in Vision Systems. </w:t>
      </w:r>
      <w:r>
        <w:rPr>
          <w:rFonts w:ascii="Cambria" w:hAnsi="Cambria"/>
          <w:color w:val="1A1A1A"/>
          <w:sz w:val="19"/>
        </w:rPr>
        <w:t>Prior deep-learning approaches attempt portion estimation on flat consumer plates or rely on active RGB-D depth sensors (Zhang et al., 2024). However, commercial kitchens use standardized catering receptacles (e.g., 5L, 10L, 20L Gastronorm hotel pans, 50L cauldrons, or plastic crates). Existing vision algorithms estimate pixel area without mapping geometry to category-specific physical bulk density tensors (e.g., distinguishing cooked biryani at 0.75 kg/L from curry sauce at 0.95 kg/L or bakery products at 0.35 kg/L), causing mass errors exceeding 35%.</w:t>
      </w:r>
    </w:p>
    <w:p>
      <w:pPr>
        <w:pStyle w:val="ListBullet"/>
        <w:spacing w:before="0" w:after="60" w:line="264" w:lineRule="auto"/>
        <w:jc w:val="both"/>
      </w:pPr>
      <w:r>
        <w:rPr>
          <w:rFonts w:ascii="Cambria" w:hAnsi="Cambria"/>
          <w:b/>
          <w:color w:val="1B365D"/>
          <w:sz w:val="19"/>
        </w:rPr>
        <w:t xml:space="preserve">Research Gap 2: Disconnection Between Static Matching and Biochemical Spoilage Kinetics. </w:t>
      </w:r>
      <w:r>
        <w:rPr>
          <w:rFonts w:ascii="Cambria" w:hAnsi="Cambria"/>
          <w:color w:val="1A1A1A"/>
          <w:sz w:val="19"/>
        </w:rPr>
        <w:t>Prevailing platforms treat donations as static inventory, operating on FIFO queues. In reality, food perishability is a biological function of elapsed thermal time and microbial growth curves. While food microbiology studies establish strict room-temperature pathogen thresholds (Patel et al., 2025), no existing redistribution framework algorithmically integrates dynamic remaining shelf-life into live route dispatch, resulting in either food poisoning risks or premature disposal.</w:t>
      </w:r>
    </w:p>
    <w:p>
      <w:pPr>
        <w:pStyle w:val="ListBullet"/>
        <w:spacing w:before="0" w:after="60" w:line="264" w:lineRule="auto"/>
        <w:jc w:val="both"/>
      </w:pPr>
      <w:r>
        <w:rPr>
          <w:rFonts w:ascii="Cambria" w:hAnsi="Cambria"/>
          <w:b/>
          <w:color w:val="1B365D"/>
          <w:sz w:val="19"/>
        </w:rPr>
        <w:t xml:space="preserve">Research Gap 3: Combinatorial Decoupling in Perishable Capacity Logistics. </w:t>
      </w:r>
      <w:r>
        <w:rPr>
          <w:rFonts w:ascii="Cambria" w:hAnsi="Cambria"/>
          <w:color w:val="1A1A1A"/>
          <w:sz w:val="19"/>
        </w:rPr>
        <w:t>Urban crowd-logistics models frequently solve the Travelling Salesperson Problem (TSP) or unconstrained VRP without coupling vehicle gross payload limits (e.g., 150 kg for two-wheeler couriers, 500 kg for cargo vans) to tight, hard perishability time windows. Naive radial dispatches lead to excessive deadhead kilometers, high transport carbon emissions, and expired batches trapped in transit.</w:t>
      </w:r>
    </w:p>
    <w:p>
      <w:pPr>
        <w:pStyle w:val="ListBullet"/>
        <w:spacing w:before="0" w:after="60" w:line="264" w:lineRule="auto"/>
        <w:jc w:val="both"/>
      </w:pPr>
      <w:r>
        <w:rPr>
          <w:rFonts w:ascii="Cambria" w:hAnsi="Cambria"/>
          <w:b/>
          <w:color w:val="1B365D"/>
          <w:sz w:val="19"/>
        </w:rPr>
        <w:t xml:space="preserve">Research Gap 4: Greenwashing, Auditability Deficits, and Gross Emission Aggregation. </w:t>
      </w:r>
      <w:r>
        <w:rPr>
          <w:rFonts w:ascii="Cambria" w:hAnsi="Cambria"/>
          <w:color w:val="1A1A1A"/>
          <w:sz w:val="19"/>
        </w:rPr>
        <w:t>Corporate donors frequently utilize unverified self-declarations for ESG reporting, leading to double-counting and greenwashing. Current impact estimators apply crude static multipliers that conflate avoided landfill methane with baseline biogenic CO2 emissions. Furthermore, the absence of cryptographic proof-of-handover leaves donation chains vulnerable to diversion, theft, and false delivery confirmation.</w:t>
      </w:r>
    </w:p>
    <w:p>
      <w:pPr>
        <w:keepNext/>
        <w:spacing w:before="280" w:after="80"/>
      </w:pPr>
      <w:r>
        <w:rPr>
          <w:rFonts w:ascii="Cambria" w:hAnsi="Cambria"/>
          <w:b/>
          <w:color w:val="1B365D"/>
          <w:sz w:val="26"/>
        </w:rPr>
        <w:t>4.0 MATERIALS AND METHODS</w:t>
      </w:r>
    </w:p>
    <w:p>
      <w:pPr>
        <w:spacing w:before="0" w:after="90" w:line="269" w:lineRule="auto"/>
        <w:jc w:val="both"/>
      </w:pPr>
      <w:r>
        <w:rPr>
          <w:rFonts w:ascii="Cambria" w:hAnsi="Cambria"/>
          <w:color w:val="1A1A1A"/>
          <w:sz w:val="19"/>
        </w:rPr>
        <w:t>EcoShare AI is architected as a distributed, cyber-physical platform engineered across four cohesive functional layers. This section details the formal mathematical formulations, process models, and architectural representations of the system.</w:t>
      </w:r>
    </w:p>
    <w:p>
      <w:pPr>
        <w:keepNext/>
        <w:spacing w:before="200" w:after="60"/>
      </w:pPr>
      <w:r>
        <w:rPr>
          <w:rFonts w:ascii="Cambria" w:hAnsi="Cambria"/>
          <w:b/>
          <w:color w:val="2C3E50"/>
          <w:sz w:val="21"/>
        </w:rPr>
        <w:t>4.1 2D Architecture and End-to-End System Process Flow</w:t>
      </w:r>
    </w:p>
    <w:p>
      <w:pPr>
        <w:spacing w:before="0" w:after="90" w:line="269" w:lineRule="auto"/>
        <w:jc w:val="both"/>
      </w:pPr>
      <w:r>
        <w:rPr>
          <w:rFonts w:ascii="Cambria" w:hAnsi="Cambria"/>
          <w:color w:val="1A1A1A"/>
          <w:sz w:val="19"/>
        </w:rPr>
        <w:t>The 2D process architecture models the end-to-end telemetry pipeline, tracing food recovery transactions from initial donor image ingestion through physical custody transfer and cryptographic ESG ledger commitment. As depicted in Figure 1, the architecture encompasses five sequential operational stages:</w:t>
      </w:r>
    </w:p>
    <w:p>
      <w:pPr>
        <w:pStyle w:val="ListBullet"/>
        <w:spacing w:before="0" w:after="60" w:line="264" w:lineRule="auto"/>
        <w:jc w:val="both"/>
      </w:pPr>
      <w:r>
        <w:rPr>
          <w:rFonts w:ascii="Cambria" w:hAnsi="Cambria"/>
          <w:b/>
          <w:color w:val="1B365D"/>
          <w:sz w:val="19"/>
        </w:rPr>
        <w:t xml:space="preserve">Stage I (Edge Ingestion &amp; Geocoding): </w:t>
      </w:r>
      <w:r>
        <w:rPr>
          <w:rFonts w:ascii="Cambria" w:hAnsi="Cambria"/>
          <w:color w:val="1A1A1A"/>
          <w:sz w:val="19"/>
        </w:rPr>
        <w:t>Donors capture dual orthogonal photographs (top-surface perimeter and side-profile fill level) on a mobile client. Geolocation, preparation timestamp, and category metadata are signed with an HMAC-SHA512 JWT token.</w:t>
      </w:r>
    </w:p>
    <w:p>
      <w:pPr>
        <w:pStyle w:val="ListBullet"/>
        <w:spacing w:before="0" w:after="60" w:line="264" w:lineRule="auto"/>
        <w:jc w:val="both"/>
      </w:pPr>
      <w:r>
        <w:rPr>
          <w:rFonts w:ascii="Cambria" w:hAnsi="Cambria"/>
          <w:b/>
          <w:color w:val="1B365D"/>
          <w:sz w:val="19"/>
        </w:rPr>
        <w:t xml:space="preserve">Stage II (Computer Vision Volumetric Processing): </w:t>
      </w:r>
      <w:r>
        <w:rPr>
          <w:rFonts w:ascii="Cambria" w:hAnsi="Cambria"/>
          <w:color w:val="1A1A1A"/>
          <w:sz w:val="19"/>
        </w:rPr>
        <w:t>The image stream is analyzed against calibrated receptacle matrices to extract effective volume V_eff and map physical bulk density tensors to determine net mass M and portion count S within error bounds.</w:t>
      </w:r>
    </w:p>
    <w:p>
      <w:pPr>
        <w:pStyle w:val="ListBullet"/>
        <w:spacing w:before="0" w:after="60" w:line="264" w:lineRule="auto"/>
        <w:jc w:val="both"/>
      </w:pPr>
      <w:r>
        <w:rPr>
          <w:rFonts w:ascii="Cambria" w:hAnsi="Cambria"/>
          <w:b/>
          <w:color w:val="1B365D"/>
          <w:sz w:val="19"/>
        </w:rPr>
        <w:t xml:space="preserve">Stage III (Microbiological Decay Kinetics &amp; Safety Shutoff): </w:t>
      </w:r>
      <w:r>
        <w:rPr>
          <w:rFonts w:ascii="Cambria" w:hAnsi="Cambria"/>
          <w:color w:val="1A1A1A"/>
          <w:sz w:val="19"/>
        </w:rPr>
        <w:t>The perishability engine queries safe shelf-life thresholds, calculates remaining distribution window t_rem, and computes composite urgency priority P. If t_rem &lt;= 0, the batch is safely diverted to composting/biogas depots.</w:t>
      </w:r>
    </w:p>
    <w:p>
      <w:pPr>
        <w:pStyle w:val="ListBullet"/>
        <w:spacing w:before="0" w:after="60" w:line="264" w:lineRule="auto"/>
        <w:jc w:val="both"/>
      </w:pPr>
      <w:r>
        <w:rPr>
          <w:rFonts w:ascii="Cambria" w:hAnsi="Cambria"/>
          <w:b/>
          <w:color w:val="1B365D"/>
          <w:sz w:val="19"/>
        </w:rPr>
        <w:t xml:space="preserve">Stage IV (Perishability-Constrained VRPTW Logistics Optimization): </w:t>
      </w:r>
      <w:r>
        <w:rPr>
          <w:rFonts w:ascii="Cambria" w:hAnsi="Cambria"/>
          <w:color w:val="1A1A1A"/>
          <w:sz w:val="19"/>
        </w:rPr>
        <w:t>Approved batches are clustered with nearby verified NGOs. The vehicle routing solver generates consolidated, fuel-minimized multi-stop itineraries subject to vehicle payload capacities and perishability deadlines.</w:t>
      </w:r>
    </w:p>
    <w:p>
      <w:pPr>
        <w:pStyle w:val="ListBullet"/>
        <w:spacing w:before="0" w:after="60" w:line="264" w:lineRule="auto"/>
        <w:jc w:val="both"/>
      </w:pPr>
      <w:r>
        <w:rPr>
          <w:rFonts w:ascii="Cambria" w:hAnsi="Cambria"/>
          <w:b/>
          <w:color w:val="1B365D"/>
          <w:sz w:val="19"/>
        </w:rPr>
        <w:t xml:space="preserve">Stage V (Zero-Trust Custody Verification &amp; Ledger Settlement): </w:t>
      </w:r>
      <w:r>
        <w:rPr>
          <w:rFonts w:ascii="Cambria" w:hAnsi="Cambria"/>
          <w:color w:val="1A1A1A"/>
          <w:sz w:val="19"/>
        </w:rPr>
        <w:t>At the destination shelter, the delivery volunteer and NGO execute an offline/online single-use cryptographic QR handshake within a 200m geofence. The verified physical mass triggers closed-loop model recalibration and immutably records IPCC AR6 methane/carbon abatement in a SHA-256 ledger.</w:t>
      </w:r>
    </w:p>
    <w:p>
      <w:pPr>
        <w:keepNext/>
        <w:spacing w:before="160" w:after="60"/>
        <w:jc w:val="center"/>
      </w:pPr>
      <w:r>
        <w:drawing>
          <wp:inline xmlns:a="http://schemas.openxmlformats.org/drawingml/2006/main" xmlns:pic="http://schemas.openxmlformats.org/drawingml/2006/picture">
            <wp:extent cx="5669280" cy="5684398"/>
            <wp:docPr id="1" name="Picture 1"/>
            <wp:cNvGraphicFramePr>
              <a:graphicFrameLocks noChangeAspect="1"/>
            </wp:cNvGraphicFramePr>
            <a:graphic>
              <a:graphicData uri="http://schemas.openxmlformats.org/drawingml/2006/picture">
                <pic:pic>
                  <pic:nvPicPr>
                    <pic:cNvPr id="0" name="flowchart_fig1.png"/>
                    <pic:cNvPicPr/>
                  </pic:nvPicPr>
                  <pic:blipFill>
                    <a:blip r:embed="rId11"/>
                    <a:stretch>
                      <a:fillRect/>
                    </a:stretch>
                  </pic:blipFill>
                  <pic:spPr>
                    <a:xfrm>
                      <a:off x="0" y="0"/>
                      <a:ext cx="5669280" cy="5684398"/>
                    </a:xfrm>
                    <a:prstGeom prst="rect"/>
                  </pic:spPr>
                </pic:pic>
              </a:graphicData>
            </a:graphic>
          </wp:inline>
        </w:drawing>
      </w:r>
    </w:p>
    <w:p>
      <w:pPr>
        <w:spacing w:before="40" w:after="160"/>
        <w:jc w:val="center"/>
      </w:pPr>
      <w:r>
        <w:rPr>
          <w:rFonts w:ascii="Cambria" w:hAnsi="Cambria"/>
          <w:b/>
          <w:color w:val="1B365D"/>
          <w:sz w:val="17"/>
        </w:rPr>
        <w:t xml:space="preserve">Figure 1: End-to-End Distributed Cyber-Physical Architecture Flow of EcoShare AI.  </w:t>
      </w:r>
      <w:r>
        <w:rPr>
          <w:rFonts w:ascii="Cambria" w:hAnsi="Cambria"/>
          <w:i/>
          <w:color w:val="666666"/>
          <w:sz w:val="17"/>
        </w:rPr>
        <w:t>Illustrating client image capture, container volume calibration, food density physics, microbiological shelf-life modeling, CVRP vehicle routing, and cryptographic SHA-256 environmental ledger accounting.</w:t>
      </w:r>
    </w:p>
    <w:p>
      <w:pPr>
        <w:keepNext/>
        <w:spacing w:before="200" w:after="60"/>
      </w:pPr>
      <w:r>
        <w:rPr>
          <w:rFonts w:ascii="Cambria" w:hAnsi="Cambria"/>
          <w:b/>
          <w:color w:val="2C3E50"/>
          <w:sz w:val="21"/>
        </w:rPr>
        <w:t>4.2 3D Layered Cyber-Physical Architecture Model</w:t>
      </w:r>
    </w:p>
    <w:p>
      <w:pPr>
        <w:spacing w:before="0" w:after="90" w:line="269" w:lineRule="auto"/>
        <w:jc w:val="both"/>
      </w:pPr>
      <w:r>
        <w:rPr>
          <w:rFonts w:ascii="Cambria" w:hAnsi="Cambria"/>
          <w:color w:val="1A1A1A"/>
          <w:sz w:val="19"/>
        </w:rPr>
        <w:t>To provide a complete structural understanding of the distributed hardware, edge computing, backend microservices, and cryptographic storage tiers, Figure 2 outlines the 3D Layered Cyber-Physical Architecture. The system is stratified into four horizontal tiers interconnected via high-throughput, low-latency gRPC and RESTful data contracts:</w:t>
      </w:r>
    </w:p>
    <w:tbl>
      <w:tblPr>
        <w:tblW w:type="auto" w:w="0"/>
        <w:jc w:val="center"/>
        <w:tblLayout w:type="fixed"/>
        <w:tblLook w:firstColumn="1" w:firstRow="1" w:lastColumn="0" w:lastRow="0" w:noHBand="0" w:noVBand="1" w:val="04A0"/>
      </w:tblPr>
      <w:tblGrid>
        <w:gridCol w:w="9605"/>
      </w:tblGrid>
      <w:tr>
        <w:tc>
          <w:tcPr>
            <w:tcW w:type="dxa" w:w="9792"/>
            <w:shd w:fill="FFFFFF"/>
            <w:tcMar>
              <w:top w:w="70" w:type="dxa"/>
              <w:bottom w:w="70" w:type="dxa"/>
              <w:left w:w="120" w:type="dxa"/>
              <w:right w:w="120" w:type="dxa"/>
            </w:tcMar>
            <w:tcBorders>
              <w:top w:val="single" w:sz="8" w:space="0" w:color="1B365D"/>
              <w:left w:val="single" w:sz="8" w:space="0" w:color="1B365D"/>
              <w:bottom w:val="single" w:sz="8" w:space="0" w:color="1B365D"/>
              <w:right w:val="single" w:sz="8" w:space="0" w:color="1B365D"/>
            </w:tcBorders>
          </w:tcPr>
          <w:p>
            <w:pPr>
              <w:spacing w:before="20" w:after="20"/>
              <w:jc w:val="left"/>
            </w:pPr>
            <w:r>
              <w:rPr>
                <w:rFonts w:ascii="Cambria" w:hAnsi="Cambria"/>
                <w:b/>
                <w:color w:val="1B365D"/>
                <w:sz w:val="19"/>
              </w:rPr>
              <w:t>LAYER 4: TRUST, AUDIT &amp; ENVIRONMENTAL LEDGER TIER</w:t>
              <w:br/>
            </w:r>
            <w:r>
              <w:rPr>
                <w:rFonts w:ascii="Cambria" w:hAnsi="Cambria"/>
                <w:i/>
                <w:color w:val="666666"/>
                <w:sz w:val="16"/>
              </w:rPr>
              <w:t>HEX: #1B365D | Cryptographic Immutability &amp; Lifecycle Carbon Accounting</w:t>
              <w:br/>
            </w:r>
            <w:r>
              <w:rPr>
                <w:rFonts w:ascii="Cambria" w:hAnsi="Cambria"/>
                <w:color w:val="1A1A1A"/>
                <w:sz w:val="17"/>
              </w:rPr>
              <w:t>• SHA-256 Canonical Merkle Tree Ledger &amp; Public ESG Certificate Registry</w:t>
              <w:br/>
              <w:t>• IPCC AR6 Multi-Gas Accounting Engine: Methane (CH4) GWP 28×, Fossil CO2e, Water Footprint (1,400 L/kg)</w:t>
              <w:br/>
              <w:t>• Single-Use HMAC-SHA256 Nonce Verification with 200-meter Geospatial Bounding Enforcement</w:t>
              <w:br/>
              <w:t>• Regulatory CSR &amp; Tax Compliance Exporter (ISO 14064 &amp; GHG Protocol Standard Compliant)</w:t>
            </w:r>
          </w:p>
        </w:tc>
      </w:tr>
      <w:tr>
        <w:tc>
          <w:tcPr>
            <w:tcW w:type="dxa" w:w="9792"/>
            <w:shd w:fill="F4F6F9"/>
            <w:tcMar>
              <w:top w:w="70" w:type="dxa"/>
              <w:bottom w:w="70" w:type="dxa"/>
              <w:left w:w="120" w:type="dxa"/>
              <w:right w:w="120" w:type="dxa"/>
            </w:tcMar>
            <w:tcBorders>
              <w:top w:val="single" w:sz="8" w:space="0" w:color="1B365D"/>
              <w:left w:val="single" w:sz="8" w:space="0" w:color="1B365D"/>
              <w:bottom w:val="single" w:sz="8" w:space="0" w:color="1B365D"/>
              <w:right w:val="single" w:sz="8" w:space="0" w:color="1B365D"/>
            </w:tcBorders>
          </w:tcPr>
          <w:p>
            <w:pPr>
              <w:spacing w:before="20" w:after="20"/>
              <w:jc w:val="left"/>
            </w:pPr>
            <w:r>
              <w:rPr>
                <w:rFonts w:ascii="Cambria" w:hAnsi="Cambria"/>
                <w:b/>
                <w:color w:val="1B365D"/>
                <w:sz w:val="19"/>
              </w:rPr>
              <w:t>LAYER 3: OPERATIONS RESEARCH &amp; VRPTW LOGISTICS ENGINE</w:t>
              <w:br/>
            </w:r>
            <w:r>
              <w:rPr>
                <w:rFonts w:ascii="Cambria" w:hAnsi="Cambria"/>
                <w:i/>
                <w:color w:val="666666"/>
                <w:sz w:val="16"/>
              </w:rPr>
              <w:t>HEX: #2C3E50 | Combinatorial Multi-Stop Vehicle Dispatch &amp; Demand Forecasting</w:t>
              <w:br/>
            </w:r>
            <w:r>
              <w:rPr>
                <w:rFonts w:ascii="Cambria" w:hAnsi="Cambria"/>
                <w:color w:val="1A1A1A"/>
                <w:sz w:val="17"/>
              </w:rPr>
              <w:t>• Perishability-Constrained VRPTW Solver: All-Pairs Haversine Distance Matrix &amp; Nearest-Neighbor Insertion</w:t>
              <w:br/>
              <w:t>• Dynamic Vehicle Capacity Enforcement: Gross Payload Limit C_max (150 kg Courier / 500 kg Van)</w:t>
              <w:br/>
              <w:t>• Time-Series Proactive Shelter Deficit Forecaster: Recipient Bed Capacity × Day-of-Week Trend Multipliers</w:t>
              <w:br/>
              <w:t>• Real-Time GPS Tracking, Volunteer Navigation Manifest Dispatch, and WebPush/SMS Alert Broadcast</w:t>
            </w:r>
          </w:p>
        </w:tc>
      </w:tr>
      <w:tr>
        <w:tc>
          <w:tcPr>
            <w:tcW w:type="dxa" w:w="9792"/>
            <w:shd w:fill="FFFFFF"/>
            <w:tcMar>
              <w:top w:w="70" w:type="dxa"/>
              <w:bottom w:w="70" w:type="dxa"/>
              <w:left w:w="120" w:type="dxa"/>
              <w:right w:w="120" w:type="dxa"/>
            </w:tcMar>
            <w:tcBorders>
              <w:top w:val="single" w:sz="8" w:space="0" w:color="1B365D"/>
              <w:left w:val="single" w:sz="8" w:space="0" w:color="1B365D"/>
              <w:bottom w:val="single" w:sz="8" w:space="0" w:color="1B365D"/>
              <w:right w:val="single" w:sz="8" w:space="0" w:color="1B365D"/>
            </w:tcBorders>
          </w:tcPr>
          <w:p>
            <w:pPr>
              <w:spacing w:before="20" w:after="20"/>
              <w:jc w:val="left"/>
            </w:pPr>
            <w:r>
              <w:rPr>
                <w:rFonts w:ascii="Cambria" w:hAnsi="Cambria"/>
                <w:b/>
                <w:color w:val="1B365D"/>
                <w:sz w:val="19"/>
              </w:rPr>
              <w:t>LAYER 2: CORE CLOUD INTELLIGENCE &amp; MICROBIOLOGICAL COMPUTATION</w:t>
              <w:br/>
            </w:r>
            <w:r>
              <w:rPr>
                <w:rFonts w:ascii="Cambria" w:hAnsi="Cambria"/>
                <w:i/>
                <w:color w:val="666666"/>
                <w:sz w:val="16"/>
              </w:rPr>
              <w:t>HEX: #006699 | Spring Boot 3 Enterprise Backend &amp; High-Concurrency Analytics</w:t>
              <w:br/>
            </w:r>
            <w:r>
              <w:rPr>
                <w:rFonts w:ascii="Cambria" w:hAnsi="Cambria"/>
                <w:color w:val="1A1A1A"/>
                <w:sz w:val="17"/>
              </w:rPr>
              <w:t>• Volumetric Computer Vision Engine: Dual-Perspective Boundary Segmentation &amp; Receptacle Matrix Lookup</w:t>
              <w:br/>
              <w:t>• 12-Category Bulk Density Physics Tensor Mapping: Rice (0.80), Curry (0.95), Dairy (1.03), Bakery (0.35)</w:t>
              <w:br/>
              <w:t>• Dynamic Biochemical Spoilage Kinetics: Safe Shelf-Life Query, Decay Velocity, and Bio-Hazard Safety Shutoff</w:t>
              <w:br/>
              <w:t>• Tri-Factor Composite Urgency Optimizer: P = 0.30·Qty + 0.50·Fresh + 0.20·Time [Range: 0–100]</w:t>
            </w:r>
          </w:p>
        </w:tc>
      </w:tr>
      <w:tr>
        <w:tc>
          <w:tcPr>
            <w:tcW w:type="dxa" w:w="9792"/>
            <w:shd w:fill="F4F6F9"/>
            <w:tcMar>
              <w:top w:w="70" w:type="dxa"/>
              <w:bottom w:w="70" w:type="dxa"/>
              <w:left w:w="120" w:type="dxa"/>
              <w:right w:w="120" w:type="dxa"/>
            </w:tcMar>
            <w:tcBorders>
              <w:top w:val="single" w:sz="8" w:space="0" w:color="1B365D"/>
              <w:left w:val="single" w:sz="8" w:space="0" w:color="1B365D"/>
              <w:bottom w:val="single" w:sz="8" w:space="0" w:color="1B365D"/>
              <w:right w:val="single" w:sz="8" w:space="0" w:color="1B365D"/>
            </w:tcBorders>
          </w:tcPr>
          <w:p>
            <w:pPr>
              <w:spacing w:before="20" w:after="20"/>
              <w:jc w:val="left"/>
            </w:pPr>
            <w:r>
              <w:rPr>
                <w:rFonts w:ascii="Cambria" w:hAnsi="Cambria"/>
                <w:b/>
                <w:color w:val="1B365D"/>
                <w:sz w:val="19"/>
              </w:rPr>
              <w:t>LAYER 1: CYBER-PHYSICAL EDGE, SENSORY TELEMETRY &amp; CLIENTS</w:t>
              <w:br/>
            </w:r>
            <w:r>
              <w:rPr>
                <w:rFonts w:ascii="Cambria" w:hAnsi="Cambria"/>
                <w:i/>
                <w:color w:val="666666"/>
                <w:sz w:val="16"/>
              </w:rPr>
              <w:t>HEX: #4B6584 | Multi-Perspective Mobile Vision, Geolocation &amp; Field Telemetry</w:t>
              <w:br/>
            </w:r>
            <w:r>
              <w:rPr>
                <w:rFonts w:ascii="Cambria" w:hAnsi="Cambria"/>
                <w:color w:val="1A1A1A"/>
                <w:sz w:val="17"/>
              </w:rPr>
              <w:t>• Donor Web/PWA Intake: Orthogonal Multi-Perspective Optical Ingestion &amp; Preparation Timestamp Signing</w:t>
              <w:br/>
              <w:t>• Volunteer Mobile Courier App: Turn-by-Turn GPS Waypoints, Payload Monitor &amp; Cryptographic Token Scanner</w:t>
              <w:br/>
              <w:t>• NGO Shelter Portal: Real-Time Deficit Registration, Incoming Manifest Radar &amp; Floor Scale Verification</w:t>
              <w:br/>
              <w:t>• Edge Hardware Integration: Calibrated Commercial Catering Receptacles (5L, 10L, 20L Pans, 50L Cauldrons)</w:t>
            </w:r>
          </w:p>
        </w:tc>
      </w:tr>
    </w:tbl>
    <w:p>
      <w:pPr>
        <w:spacing w:before="80" w:after="80"/>
      </w:pPr>
    </w:p>
    <w:p>
      <w:pPr>
        <w:keepNext/>
        <w:spacing w:before="200" w:after="60"/>
      </w:pPr>
      <w:r>
        <w:rPr>
          <w:rFonts w:ascii="Cambria" w:hAnsi="Cambria"/>
          <w:b/>
          <w:color w:val="2C3E50"/>
          <w:sz w:val="21"/>
        </w:rPr>
        <w:t>4.3 Non-Contact Volumetric Computer Vision Formulation</w:t>
      </w:r>
    </w:p>
    <w:p>
      <w:pPr>
        <w:spacing w:before="0" w:after="90" w:line="269" w:lineRule="auto"/>
        <w:jc w:val="both"/>
      </w:pPr>
      <w:r>
        <w:rPr>
          <w:rFonts w:ascii="Cambria" w:hAnsi="Cambria"/>
          <w:color w:val="1A1A1A"/>
          <w:sz w:val="19"/>
        </w:rPr>
        <w:t>To circumvent the scale ambiguity inherent in uncalibrated monocular photographs, EcoShare AI employs a calibrated receptacle geometry matrix coupled with orthogonal dual-perspective photography. When a catering receptacle of standard volume V_ref is detected (e.g., 5L, 10L, 20L Gastronorm pan, or 50L commercial cauldron), the effective food volume V_eff is determined by segmenting the surface fill boundary percentage F_eff:</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V_eff = V_ref · (F_eff / 100)  [Liters]</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w:t>
            </w:r>
          </w:p>
        </w:tc>
      </w:tr>
    </w:tbl>
    <w:p>
      <w:pPr>
        <w:spacing w:before="0" w:after="40"/>
      </w:pPr>
    </w:p>
    <w:p>
      <w:pPr>
        <w:spacing w:before="0" w:after="90" w:line="269" w:lineRule="auto"/>
        <w:jc w:val="both"/>
      </w:pPr>
      <w:r>
        <w:rPr>
          <w:rFonts w:ascii="Cambria" w:hAnsi="Cambria"/>
          <w:color w:val="1A1A1A"/>
          <w:sz w:val="19"/>
        </w:rPr>
        <w:t>Where physical mass M is synthesized via category-specific bulk density tensor mapping ρ_c (kg/L) for category c ∈ C:</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M = V_eff · ρ_c = [V_ref · (F_eff / 100)] · ρ_c  [kg]</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(2)</w:t>
            </w:r>
          </w:p>
        </w:tc>
      </w:tr>
    </w:tbl>
    <w:p>
      <w:pPr>
        <w:spacing w:before="0" w:after="40"/>
      </w:pPr>
    </w:p>
    <w:p>
      <w:pPr>
        <w:spacing w:before="0" w:after="90" w:line="269" w:lineRule="auto"/>
        <w:jc w:val="both"/>
      </w:pPr>
      <w:r>
        <w:rPr>
          <w:rFonts w:ascii="Cambria" w:hAnsi="Cambria"/>
          <w:color w:val="1A1A1A"/>
          <w:sz w:val="19"/>
        </w:rPr>
        <w:t>Portion yields S are calculated using standardized nutrition serving vectors w_c (grams/portion):</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S = M / (w_c / 1000) = [V_eff · ρ_c · 1000] / w_c  [Portions]</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(3)</w:t>
            </w:r>
          </w:p>
        </w:tc>
      </w:tr>
    </w:tbl>
    <w:p>
      <w:pPr>
        <w:spacing w:before="0" w:after="40"/>
      </w:pPr>
    </w:p>
    <w:p>
      <w:pPr>
        <w:spacing w:before="0" w:after="90" w:line="269" w:lineRule="auto"/>
        <w:jc w:val="both"/>
      </w:pPr>
      <w:r>
        <w:rPr>
          <w:rFonts w:ascii="Cambria" w:hAnsi="Cambria"/>
          <w:color w:val="1A1A1A"/>
          <w:sz w:val="19"/>
        </w:rPr>
        <w:t>When standard receptacles are present and orthogonal top and side perspectives are supplied, the statistical uncertainty bounds shrink to ±8% (confidence boost of +5%), yielding the bounded mass tuple [M_min, M_max]:</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M_bounded = [M · (1 - ε), M · (1 + ε)],  where ε = 0.08 (Calibrated) or 0.12 (Monocular)</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(4)</w:t>
            </w:r>
          </w:p>
        </w:tc>
      </w:tr>
    </w:tbl>
    <w:p>
      <w:pPr>
        <w:spacing w:before="0" w:after="40"/>
      </w:pPr>
    </w:p>
    <w:p>
      <w:pPr>
        <w:keepNext/>
        <w:spacing w:before="160" w:after="60"/>
        <w:jc w:val="center"/>
      </w:pPr>
      <w:r>
        <w:drawing>
          <wp:inline xmlns:a="http://schemas.openxmlformats.org/drawingml/2006/main" xmlns:pic="http://schemas.openxmlformats.org/drawingml/2006/picture">
            <wp:extent cx="5669280" cy="5684398"/>
            <wp:docPr id="2" name="Picture 2"/>
            <wp:cNvGraphicFramePr>
              <a:graphicFrameLocks noChangeAspect="1"/>
            </wp:cNvGraphicFramePr>
            <a:graphic>
              <a:graphicData uri="http://schemas.openxmlformats.org/drawingml/2006/picture">
                <pic:pic>
                  <pic:nvPicPr>
                    <pic:cNvPr id="0" name="flowchart_fig2.png"/>
                    <pic:cNvPicPr/>
                  </pic:nvPicPr>
                  <pic:blipFill>
                    <a:blip r:embed="rId12"/>
                    <a:stretch>
                      <a:fillRect/>
                    </a:stretch>
                  </pic:blipFill>
                  <pic:spPr>
                    <a:xfrm>
                      <a:off x="0" y="0"/>
                      <a:ext cx="5669280" cy="5684398"/>
                    </a:xfrm>
                    <a:prstGeom prst="rect"/>
                  </pic:spPr>
                </pic:pic>
              </a:graphicData>
            </a:graphic>
          </wp:inline>
        </w:drawing>
      </w:r>
    </w:p>
    <w:p>
      <w:pPr>
        <w:spacing w:before="40" w:after="160"/>
        <w:jc w:val="center"/>
      </w:pPr>
      <w:r>
        <w:rPr>
          <w:rFonts w:ascii="Cambria" w:hAnsi="Cambria"/>
          <w:b/>
          <w:color w:val="1B365D"/>
          <w:sz w:val="17"/>
        </w:rPr>
        <w:t xml:space="preserve">Figure 2: Non-Contact Volumetric Computer Vision and Bulk Density Physics Transformation Pipeline.  </w:t>
      </w:r>
      <w:r>
        <w:rPr>
          <w:rFonts w:ascii="Cambria" w:hAnsi="Cambria"/>
          <w:i/>
          <w:color w:val="666666"/>
          <w:sz w:val="17"/>
        </w:rPr>
        <w:t>Grounding visual fill percentages in standardized catering receptacle geometry and category bulk density eliminates monocular scale ambiguity.</w:t>
      </w:r>
    </w:p>
    <w:p>
      <w:pPr>
        <w:keepNext/>
        <w:spacing w:before="200" w:after="60"/>
      </w:pPr>
      <w:r>
        <w:rPr>
          <w:rFonts w:ascii="Cambria" w:hAnsi="Cambria"/>
          <w:b/>
          <w:color w:val="2C3E50"/>
          <w:sz w:val="21"/>
        </w:rPr>
        <w:t>4.4 Tri-Factor Microbiological Spoilage Kinetics &amp; Urgency Priority</w:t>
      </w:r>
    </w:p>
    <w:p>
      <w:pPr>
        <w:spacing w:before="0" w:after="90" w:line="269" w:lineRule="auto"/>
        <w:jc w:val="both"/>
      </w:pPr>
      <w:r>
        <w:rPr>
          <w:rFonts w:ascii="Cambria" w:hAnsi="Cambria"/>
          <w:color w:val="1A1A1A"/>
          <w:sz w:val="19"/>
        </w:rPr>
        <w:t>Cooked food safety is governed by microbial replication kinetics. Let T_shelf(c) denote the empirical safe room-temperature shelf-life for food category c (e.g., Dairy: 4.0h, Cooked Biryani/Curry: 5.5h, Bakery: 24.0h). The remaining safe consumption window t_rem at observation time t_now is given by:</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t_rem = max(0, T_shelf(c) - [t_now - t_prep])  [Hours]</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(5)</w:t>
            </w:r>
          </w:p>
        </w:tc>
      </w:tr>
    </w:tbl>
    <w:p>
      <w:pPr>
        <w:spacing w:before="0" w:after="40"/>
      </w:pPr>
    </w:p>
    <w:p>
      <w:pPr>
        <w:spacing w:before="0" w:after="90" w:line="269" w:lineRule="auto"/>
        <w:jc w:val="both"/>
      </w:pPr>
      <w:r>
        <w:rPr>
          <w:rFonts w:ascii="Cambria" w:hAnsi="Cambria"/>
          <w:color w:val="1A1A1A"/>
          <w:sz w:val="19"/>
        </w:rPr>
        <w:t>If t_rem &lt;= 0, the platform triggers a mandatory Bio-Hazard Safety Shutoff Gate. The donation status is locked to BIO_DIVERTED, preventing human consumption dispatch and redirecting the consignment to municipal anaerobic composting or biogas digesters. For safe batches (t_rem &gt; 0), the Tri-Factor Composite Urgency Priority P ∈ [0, 100] is calculated:</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P = w_qty · S_qty + w_fresh · S_fresh + w_time · S_time = 0.30 · S_qty + 0.50 · S_fresh + 0.20 · S_time</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(6)</w:t>
            </w:r>
          </w:p>
        </w:tc>
      </w:tr>
    </w:tbl>
    <w:p>
      <w:pPr>
        <w:spacing w:before="0" w:after="40"/>
      </w:pPr>
    </w:p>
    <w:p>
      <w:pPr>
        <w:spacing w:before="0" w:after="90" w:line="269" w:lineRule="auto"/>
        <w:jc w:val="both"/>
      </w:pPr>
      <w:r>
        <w:rPr>
          <w:rFonts w:ascii="Cambria" w:hAnsi="Cambria"/>
          <w:color w:val="1A1A1A"/>
          <w:sz w:val="19"/>
        </w:rPr>
        <w:t>Where the normalized sub-vectors are defined as:</w:t>
        <w:br/>
        <w:t>• S_qty = min(100, M / 0.5): Mass recovery scale vector prioritizing high-volume batches.</w:t>
        <w:br/>
        <w:t>• S_fresh = max(0, 100 · [1 - (t_now - t_prep) / T_shelf(c)]): Biochemical freshness decay vector.</w:t>
        <w:br/>
        <w:t>• S_time = min(100, 100 · [(t_now - t_prep) / 4.0]): Chronological transit urgency vector.</w:t>
      </w:r>
    </w:p>
    <w:p>
      <w:pPr>
        <w:keepNext/>
        <w:spacing w:before="160" w:after="60"/>
        <w:jc w:val="center"/>
      </w:pPr>
      <w:r>
        <w:drawing>
          <wp:inline xmlns:a="http://schemas.openxmlformats.org/drawingml/2006/main" xmlns:pic="http://schemas.openxmlformats.org/drawingml/2006/picture">
            <wp:extent cx="5669280" cy="5684398"/>
            <wp:docPr id="3" name="Picture 3"/>
            <wp:cNvGraphicFramePr>
              <a:graphicFrameLocks noChangeAspect="1"/>
            </wp:cNvGraphicFramePr>
            <a:graphic>
              <a:graphicData uri="http://schemas.openxmlformats.org/drawingml/2006/picture">
                <pic:pic>
                  <pic:nvPicPr>
                    <pic:cNvPr id="0" name="flowchart_fig3.png"/>
                    <pic:cNvPicPr/>
                  </pic:nvPicPr>
                  <pic:blipFill>
                    <a:blip r:embed="rId13"/>
                    <a:stretch>
                      <a:fillRect/>
                    </a:stretch>
                  </pic:blipFill>
                  <pic:spPr>
                    <a:xfrm>
                      <a:off x="0" y="0"/>
                      <a:ext cx="5669280" cy="5684398"/>
                    </a:xfrm>
                    <a:prstGeom prst="rect"/>
                  </pic:spPr>
                </pic:pic>
              </a:graphicData>
            </a:graphic>
          </wp:inline>
        </w:drawing>
      </w:r>
    </w:p>
    <w:p>
      <w:pPr>
        <w:spacing w:before="40" w:after="160"/>
        <w:jc w:val="center"/>
      </w:pPr>
      <w:r>
        <w:rPr>
          <w:rFonts w:ascii="Cambria" w:hAnsi="Cambria"/>
          <w:b/>
          <w:color w:val="1B365D"/>
          <w:sz w:val="17"/>
        </w:rPr>
        <w:t xml:space="preserve">Figure 3: Tri-Factor Microbiological Decay and Freshness-Aware Urgency Engine.  </w:t>
      </w:r>
      <w:r>
        <w:rPr>
          <w:rFonts w:ascii="Cambria" w:hAnsi="Cambria"/>
          <w:i/>
          <w:color w:val="666666"/>
          <w:sz w:val="17"/>
        </w:rPr>
        <w:t>Coupling category bacterial growth kinetics with batch mass and transit deadlines prevents the redistribution of spoiled food and establishes strict dispatch SLAs.</w:t>
      </w:r>
    </w:p>
    <w:p>
      <w:pPr>
        <w:keepNext/>
        <w:spacing w:before="200" w:after="60"/>
      </w:pPr>
      <w:r>
        <w:rPr>
          <w:rFonts w:ascii="Cambria" w:hAnsi="Cambria"/>
          <w:b/>
          <w:color w:val="2C3E50"/>
          <w:sz w:val="21"/>
        </w:rPr>
        <w:t>4.5 Perishability-Constrained Capacitated Vehicle Routing (VRPTW)</w:t>
      </w:r>
    </w:p>
    <w:p>
      <w:pPr>
        <w:spacing w:before="0" w:after="90" w:line="269" w:lineRule="auto"/>
        <w:jc w:val="both"/>
      </w:pPr>
      <w:r>
        <w:rPr>
          <w:rFonts w:ascii="Cambria" w:hAnsi="Cambria"/>
          <w:color w:val="1A1A1A"/>
          <w:sz w:val="19"/>
        </w:rPr>
        <w:t>To execute physical recovery under hard perishability deadlines, the system models the multi-donor, multi-shelter redistribution network as a Capacitated Vehicle Routing Problem with Time Windows (VRPTW). Let G = (V, E) represent a complete directed graph where V = {0} ∪ P_nodes ∪ D_nodes, with vertex 0 as the volunteer depot, P_nodes as donor pickup nodes, and D_nodes as recipient shelter delivery nodes.</w:t>
      </w:r>
    </w:p>
    <w:p>
      <w:pPr>
        <w:spacing w:before="0" w:after="90" w:line="269" w:lineRule="auto"/>
        <w:jc w:val="both"/>
      </w:pPr>
      <w:r>
        <w:rPr>
          <w:rFonts w:ascii="Cambria" w:hAnsi="Cambria"/>
          <w:color w:val="1A1A1A"/>
          <w:sz w:val="19"/>
        </w:rPr>
        <w:t>Let c_ij denote the geospatial transit cost (distance in kilometers computed via the Haversine formula), q_i the batch mass demand, [e_i, l_i] the feasible arrival time window where l_i = min(CloseTime_i, t_prep + T_shelf), and C_max the vehicle payload capacity limit. The optimization objective minimizes aggregate route travel distance and transport emissions:</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min  Z = ∑_(k∈K) ∑_((i,j)∈E) c_ij · x_ijk</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(7)</w:t>
            </w:r>
          </w:p>
        </w:tc>
      </w:tr>
    </w:tbl>
    <w:p>
      <w:pPr>
        <w:spacing w:before="0" w:after="40"/>
      </w:pPr>
    </w:p>
    <w:p>
      <w:pPr>
        <w:spacing w:before="0" w:after="90" w:line="269" w:lineRule="auto"/>
        <w:jc w:val="both"/>
      </w:pPr>
      <w:r>
        <w:rPr>
          <w:rFonts w:ascii="Cambria" w:hAnsi="Cambria"/>
          <w:color w:val="1A1A1A"/>
          <w:sz w:val="19"/>
        </w:rPr>
        <w:t>Subject to strict capacity boundaries, pickup-before-delivery precedence, and non-violation of safe shelf-life windows:</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∑_(i∈P_nodes) q_i · y_ik ≤ C_max,   ∀k ∈ K  (Vehicle Payload Bound)</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(8)</w:t>
            </w:r>
          </w:p>
        </w:tc>
      </w:tr>
    </w:tbl>
    <w:p>
      <w:pPr>
        <w:spacing w:before="0" w:after="40"/>
      </w:pP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t_i + s_i + t_ij ≤ t_j,   if x_ijk = 1  (Time Consistency Constraint)</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(9)</w:t>
            </w:r>
          </w:p>
        </w:tc>
      </w:tr>
    </w:tbl>
    <w:p>
      <w:pPr>
        <w:spacing w:before="0" w:after="40"/>
      </w:pP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e_i ≤ t_i ≤ l_i,   ∀i ∈ V  (Hard Perishability Window Constraint)</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(10)</w:t>
            </w:r>
          </w:p>
        </w:tc>
      </w:tr>
    </w:tbl>
    <w:p>
      <w:pPr>
        <w:spacing w:before="0" w:after="40"/>
      </w:pPr>
    </w:p>
    <w:p>
      <w:pPr>
        <w:keepNext/>
        <w:spacing w:before="160" w:after="60"/>
        <w:jc w:val="center"/>
      </w:pPr>
      <w:r>
        <w:drawing>
          <wp:inline xmlns:a="http://schemas.openxmlformats.org/drawingml/2006/main" xmlns:pic="http://schemas.openxmlformats.org/drawingml/2006/picture">
            <wp:extent cx="5669280" cy="6198413"/>
            <wp:docPr id="4" name="Picture 4"/>
            <wp:cNvGraphicFramePr>
              <a:graphicFrameLocks noChangeAspect="1"/>
            </wp:cNvGraphicFramePr>
            <a:graphic>
              <a:graphicData uri="http://schemas.openxmlformats.org/drawingml/2006/picture">
                <pic:pic>
                  <pic:nvPicPr>
                    <pic:cNvPr id="0" name="flowchart_fig4.png"/>
                    <pic:cNvPicPr/>
                  </pic:nvPicPr>
                  <pic:blipFill>
                    <a:blip r:embed="rId14"/>
                    <a:stretch>
                      <a:fillRect/>
                    </a:stretch>
                  </pic:blipFill>
                  <pic:spPr>
                    <a:xfrm>
                      <a:off x="0" y="0"/>
                      <a:ext cx="5669280" cy="6198413"/>
                    </a:xfrm>
                    <a:prstGeom prst="rect"/>
                  </pic:spPr>
                </pic:pic>
              </a:graphicData>
            </a:graphic>
          </wp:inline>
        </w:drawing>
      </w:r>
    </w:p>
    <w:p>
      <w:pPr>
        <w:spacing w:before="40" w:after="160"/>
        <w:jc w:val="center"/>
      </w:pPr>
      <w:r>
        <w:rPr>
          <w:rFonts w:ascii="Cambria" w:hAnsi="Cambria"/>
          <w:b/>
          <w:color w:val="1B365D"/>
          <w:sz w:val="17"/>
        </w:rPr>
        <w:t xml:space="preserve">Figure 4: Perishability-Constrained Multi-Stop CVRP/VRPTW Logistics Optimization Algorithm.  </w:t>
      </w:r>
      <w:r>
        <w:rPr>
          <w:rFonts w:ascii="Cambria" w:hAnsi="Cambria"/>
          <w:i/>
          <w:color w:val="666666"/>
          <w:sz w:val="17"/>
        </w:rPr>
        <w:t>Resolving multi-stop vehicle trajectories subject to gross payload weight limits and strict chronological pickup-before-delivery dependencies.</w:t>
      </w:r>
    </w:p>
    <w:p>
      <w:pPr>
        <w:keepNext/>
        <w:spacing w:before="200" w:after="60"/>
      </w:pPr>
      <w:r>
        <w:rPr>
          <w:rFonts w:ascii="Cambria" w:hAnsi="Cambria"/>
          <w:b/>
          <w:color w:val="2C3E50"/>
          <w:sz w:val="21"/>
        </w:rPr>
        <w:t>4.6 Proactive Recipient Deficit Forecasting</w:t>
      </w:r>
    </w:p>
    <w:p>
      <w:pPr>
        <w:spacing w:before="0" w:after="90" w:line="269" w:lineRule="auto"/>
        <w:jc w:val="both"/>
      </w:pPr>
      <w:r>
        <w:rPr>
          <w:rFonts w:ascii="Cambria" w:hAnsi="Cambria"/>
          <w:color w:val="1A1A1A"/>
          <w:sz w:val="19"/>
        </w:rPr>
        <w:t>Rather than relying on reactive donor submissions, EcoShare AI implements a 24-hour proactive deficit forecasting engine. Recipient shelters register operational telemetry including resident bed count B_j, existing inventory I_j, and target meals per day. The meal deficit D_j(t) is modeled as a time-series function incorporating day-of-week demand multipliers μ_day and local festival coefficients:</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D_j(t) = max(0, [B_j · 2.20 · μ_day · μ_fest] - I_j(t))  [Meals Required]</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(11)</w:t>
            </w:r>
          </w:p>
        </w:tc>
      </w:tr>
    </w:tbl>
    <w:p>
      <w:pPr>
        <w:spacing w:before="0" w:after="40"/>
      </w:pPr>
    </w:p>
    <w:p>
      <w:pPr>
        <w:spacing w:before="0" w:after="90" w:line="269" w:lineRule="auto"/>
        <w:jc w:val="both"/>
      </w:pPr>
      <w:r>
        <w:rPr>
          <w:rFonts w:ascii="Cambria" w:hAnsi="Cambria"/>
          <w:color w:val="1A1A1A"/>
          <w:sz w:val="19"/>
        </w:rPr>
        <w:t>Commercial banquet halls and kitchens are geo-clustered into regional corridors. When D_j(t) exceeds a critical threshold, the engine broadcasts automated 6-hour advance surplus solicitation notices to registered commercial caterers in the same corridor.</w:t>
      </w:r>
    </w:p>
    <w:p>
      <w:pPr>
        <w:keepNext/>
        <w:spacing w:before="160" w:after="60"/>
        <w:jc w:val="center"/>
      </w:pPr>
      <w:r>
        <w:drawing>
          <wp:inline xmlns:a="http://schemas.openxmlformats.org/drawingml/2006/main" xmlns:pic="http://schemas.openxmlformats.org/drawingml/2006/picture">
            <wp:extent cx="5669280" cy="5684398"/>
            <wp:docPr id="5" name="Picture 5"/>
            <wp:cNvGraphicFramePr>
              <a:graphicFrameLocks noChangeAspect="1"/>
            </wp:cNvGraphicFramePr>
            <a:graphic>
              <a:graphicData uri="http://schemas.openxmlformats.org/drawingml/2006/picture">
                <pic:pic>
                  <pic:nvPicPr>
                    <pic:cNvPr id="0" name="flowchart_fig5.png"/>
                    <pic:cNvPicPr/>
                  </pic:nvPicPr>
                  <pic:blipFill>
                    <a:blip r:embed="rId15"/>
                    <a:stretch>
                      <a:fillRect/>
                    </a:stretch>
                  </pic:blipFill>
                  <pic:spPr>
                    <a:xfrm>
                      <a:off x="0" y="0"/>
                      <a:ext cx="5669280" cy="5684398"/>
                    </a:xfrm>
                    <a:prstGeom prst="rect"/>
                  </pic:spPr>
                </pic:pic>
              </a:graphicData>
            </a:graphic>
          </wp:inline>
        </w:drawing>
      </w:r>
    </w:p>
    <w:p>
      <w:pPr>
        <w:spacing w:before="40" w:after="160"/>
        <w:jc w:val="center"/>
      </w:pPr>
      <w:r>
        <w:rPr>
          <w:rFonts w:ascii="Cambria" w:hAnsi="Cambria"/>
          <w:b/>
          <w:color w:val="1B365D"/>
          <w:sz w:val="17"/>
        </w:rPr>
        <w:t xml:space="preserve">Figure 5: Time-Series Proactive Shelter Deficit Forecasting and Commercial Kitchen Solicitation.  </w:t>
      </w:r>
      <w:r>
        <w:rPr>
          <w:rFonts w:ascii="Cambria" w:hAnsi="Cambria"/>
          <w:i/>
          <w:color w:val="666666"/>
          <w:sz w:val="17"/>
        </w:rPr>
        <w:t>Mapping high-demand urban corridors and matching forecasted hunger deficits with pre-solicited commercial kitchen surplus.</w:t>
      </w:r>
    </w:p>
    <w:p>
      <w:pPr>
        <w:keepNext/>
        <w:spacing w:before="200" w:after="60"/>
      </w:pPr>
      <w:r>
        <w:rPr>
          <w:rFonts w:ascii="Cambria" w:hAnsi="Cambria"/>
          <w:b/>
          <w:color w:val="2C3E50"/>
          <w:sz w:val="21"/>
        </w:rPr>
        <w:t>4.7 IPCC AR6 Lifecycle Carbon Accounting and Zero-Trust Verification</w:t>
      </w:r>
    </w:p>
    <w:p>
      <w:pPr>
        <w:spacing w:before="0" w:after="90" w:line="269" w:lineRule="auto"/>
        <w:jc w:val="both"/>
      </w:pPr>
      <w:r>
        <w:rPr>
          <w:rFonts w:ascii="Cambria" w:hAnsi="Cambria"/>
          <w:color w:val="1A1A1A"/>
          <w:sz w:val="19"/>
        </w:rPr>
        <w:t>To provide auditable ecological accounting, EcoShare AI implements the IPCC AR6 Tier-2 First-Order Decay (FOD) methodology. Preventing the landfill disposal of organic food mass M (kg) avoids landfill methane emissions and upstream supply chain embodied GHG:</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E_avoided = M · [EF_direct · GWP_CH4 + EF_lifecycle] = M · [0.068 · 28 + 1.90] = M · 3.804  [kg CO2e]</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(12)</w:t>
            </w:r>
          </w:p>
        </w:tc>
      </w:tr>
    </w:tbl>
    <w:p>
      <w:pPr>
        <w:spacing w:before="0" w:after="40"/>
      </w:pPr>
    </w:p>
    <w:p>
      <w:pPr>
        <w:spacing w:before="0" w:after="90" w:line="269" w:lineRule="auto"/>
        <w:jc w:val="both"/>
      </w:pPr>
      <w:r>
        <w:rPr>
          <w:rFonts w:ascii="Cambria" w:hAnsi="Cambria"/>
          <w:color w:val="1A1A1A"/>
          <w:sz w:val="19"/>
        </w:rPr>
        <w:t>Where EF_direct represents the methane emission factor under anaerobic landfill decay, GWP_CH4 = 28 is the IPCC AR6 100-year methane metric, and EF_lifecycle = 1.90 kg CO2e/kg accounts for avoided agricultural production and processing emissions. Concurrently, virtual water conservation is quantified based on FAO life-cycle matrices (W_conserved = M · 1,400 Liters).</w:t>
      </w:r>
    </w:p>
    <w:p>
      <w:pPr>
        <w:spacing w:before="0" w:after="90" w:line="269" w:lineRule="auto"/>
        <w:jc w:val="both"/>
      </w:pPr>
      <w:r>
        <w:rPr>
          <w:rFonts w:ascii="Cambria" w:hAnsi="Cambria"/>
          <w:color w:val="1A1A1A"/>
          <w:sz w:val="19"/>
        </w:rPr>
        <w:t>At the destination shelter, custody transfer is verified via an ephemeral HMAC-SHA256 QR token signed with a single-use cryptographic nonce and geofenced to within 200 meters of the recipient's registered GPS coordinates. Upon verification, an immutable SHA-256 canonical ledger digest is generated:</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H_ledger = SHA-256(BatchID || M_verified || t_handover || DonorID || NGO_ID || GPS_lat || GPS_lng)</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(13)</w:t>
            </w:r>
          </w:p>
        </w:tc>
      </w:tr>
    </w:tbl>
    <w:p>
      <w:pPr>
        <w:spacing w:before="0" w:after="40"/>
      </w:pPr>
    </w:p>
    <w:p>
      <w:pPr>
        <w:keepNext/>
        <w:spacing w:before="280" w:after="80"/>
      </w:pPr>
      <w:r>
        <w:rPr>
          <w:rFonts w:ascii="Cambria" w:hAnsi="Cambria"/>
          <w:b/>
          <w:color w:val="1B365D"/>
          <w:sz w:val="26"/>
        </w:rPr>
        <w:t>5.0 RESULTS AND DISCUSSION</w:t>
      </w:r>
    </w:p>
    <w:p>
      <w:pPr>
        <w:spacing w:before="0" w:after="90" w:line="269" w:lineRule="auto"/>
        <w:jc w:val="both"/>
      </w:pPr>
      <w:r>
        <w:rPr>
          <w:rFonts w:ascii="Cambria" w:hAnsi="Cambria"/>
          <w:color w:val="1A1A1A"/>
          <w:sz w:val="19"/>
        </w:rPr>
        <w:t>EcoShare AI was subjected to extensive empirical validation across 1,240 food redistribution batches spanning 12 distinct food categories, 32 commercial banquet and hotel donors, and 14 recipient shelters. This section presents quantitative evaluation across computer vision mass estimation accuracy, vehicle routing efficiency, environmental abatement fidelity, and food safety compliance.</w:t>
      </w:r>
    </w:p>
    <w:p>
      <w:pPr>
        <w:keepNext/>
        <w:spacing w:before="200" w:after="60"/>
      </w:pPr>
      <w:r>
        <w:rPr>
          <w:rFonts w:ascii="Cambria" w:hAnsi="Cambria"/>
          <w:b/>
          <w:color w:val="2C3E50"/>
          <w:sz w:val="21"/>
        </w:rPr>
        <w:t>5.1 Non-Contact Volumetric Mass Estimation Accuracy</w:t>
      </w:r>
    </w:p>
    <w:p>
      <w:pPr>
        <w:spacing w:before="0" w:after="90" w:line="269" w:lineRule="auto"/>
        <w:jc w:val="both"/>
      </w:pPr>
      <w:r>
        <w:rPr>
          <w:rFonts w:ascii="Cambria" w:hAnsi="Cambria"/>
          <w:color w:val="1A1A1A"/>
          <w:sz w:val="19"/>
        </w:rPr>
        <w:t>To evaluate vision estimation accuracy, estimated mass values M_est were compared against certified physical floor-scale readings M_true. Performance was quantified using Mean Absolute Percentage Error (MAPE) and Root Mean Square Error (RMSE):</w:t>
      </w:r>
    </w:p>
    <w:tbl>
      <w:tblPr>
        <w:tblW w:type="auto" w:w="0"/>
        <w:jc w:val="center"/>
        <w:tblLayout w:type="fixed"/>
        <w:tblLook w:firstColumn="1" w:firstRow="1" w:lastColumn="0" w:lastRow="0" w:noHBand="0" w:noVBand="1" w:val="04A0"/>
      </w:tblPr>
      <w:tblGrid>
        <w:gridCol w:w="4802"/>
        <w:gridCol w:w="4802"/>
      </w:tblGrid>
      <w:tr>
        <w:tc>
          <w:tcPr>
            <w:tcW w:type="dxa" w:w="8640"/>
            <w:shd w:fill="F4F6F9"/>
            <w:tcMar>
              <w:top w:w="60" w:type="dxa"/>
              <w:bottom w:w="60" w:type="dxa"/>
              <w:left w:w="120" w:type="dxa"/>
              <w:right w:w="60" w:type="dxa"/>
            </w:tcMar>
            <w:tcBorders>
              <w:top w:val="none" w:sz="12" w:space="0" w:color="006699"/>
              <w:left w:val="single" w:sz="12" w:space="0" w:color="006699"/>
              <w:bottom w:val="none" w:sz="12" w:space="0" w:color="006699"/>
              <w:right w:val="none" w:sz="12" w:space="0" w:color="006699"/>
            </w:tcBorders>
          </w:tcPr>
          <w:p>
            <w:pPr>
              <w:spacing w:before="0" w:after="0"/>
              <w:jc w:val="left"/>
            </w:pPr>
            <w:r>
              <w:rPr>
                <w:rFonts w:ascii="Cambria Math" w:hAnsi="Cambria Math"/>
                <w:b/>
                <w:color w:val="1B365D"/>
                <w:sz w:val="19"/>
              </w:rPr>
              <w:t xml:space="preserve">MAPE = (1 / N) ∑_(i=1)^N |(M_est,i - M_true,i) / M_true,i| × 100% </w:t>
            </w:r>
          </w:p>
        </w:tc>
        <w:tc>
          <w:tcPr>
            <w:tcW w:type="dxa" w:w="1152"/>
            <w:shd w:fill="F4F6F9"/>
            <w:tcMar>
              <w:top w:w="60" w:type="dxa"/>
              <w:bottom w:w="60" w:type="dxa"/>
              <w:left w:w="40" w:type="dxa"/>
              <w:right w:w="100" w:type="dxa"/>
            </w:tcMar>
            <w:tcBorders>
              <w:top w:val="none" w:sz="4" w:space="0" w:color="CCCCCC"/>
              <w:left w:val="none" w:sz="4" w:space="0" w:color="CCCCCC"/>
              <w:bottom w:val="none" w:sz="4" w:space="0" w:color="CCCCCC"/>
              <w:right w:val="none" w:sz="4" w:space="0" w:color="CCCCCC"/>
            </w:tcBorders>
          </w:tcPr>
          <w:p>
            <w:pPr>
              <w:spacing w:before="0" w:after="0"/>
              <w:jc w:val="right"/>
            </w:pPr>
            <w:r>
              <w:rPr>
                <w:rFonts w:ascii="Cambria" w:hAnsi="Cambria"/>
                <w:b/>
                <w:color w:val="666666"/>
                <w:sz w:val="19"/>
              </w:rPr>
              <w:t>(14)</w:t>
            </w:r>
          </w:p>
        </w:tc>
      </w:tr>
    </w:tbl>
    <w:p>
      <w:pPr>
        <w:spacing w:before="0" w:after="40"/>
      </w:pPr>
    </w:p>
    <w:p>
      <w:pPr>
        <w:spacing w:before="0" w:after="90" w:line="269" w:lineRule="auto"/>
        <w:jc w:val="both"/>
      </w:pPr>
      <w:r>
        <w:rPr>
          <w:rFonts w:ascii="Cambria" w:hAnsi="Cambria"/>
          <w:color w:val="1A1A1A"/>
          <w:sz w:val="19"/>
        </w:rPr>
        <w:t>TABLE I: NON-CONTACT MASS ESTIMATION PERFORMANCE ACROSS 12 FOOD CATEGORIES</w:t>
      </w:r>
    </w:p>
    <w:tbl>
      <w:tblPr>
        <w:tblW w:type="auto" w:w="0"/>
        <w:jc w:val="center"/>
        <w:tblLayout w:type="fixed"/>
        <w:tblLook w:firstColumn="1" w:firstRow="1" w:lastColumn="0" w:lastRow="0" w:noHBand="0" w:noVBand="1" w:val="04A0"/>
      </w:tblPr>
      <w:tblGrid>
        <w:gridCol w:w="1372"/>
        <w:gridCol w:w="1372"/>
        <w:gridCol w:w="1372"/>
        <w:gridCol w:w="1372"/>
        <w:gridCol w:w="1372"/>
        <w:gridCol w:w="1372"/>
        <w:gridCol w:w="1372"/>
      </w:tblGrid>
      <w:tr>
        <w:tc>
          <w:tcPr>
            <w:tcW w:type="dxa" w:w="2160"/>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Food Category</w:t>
            </w:r>
          </w:p>
        </w:tc>
        <w:tc>
          <w:tcPr>
            <w:tcW w:type="dxa" w:w="1008"/>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Bulk Density (kg/L)</w:t>
            </w:r>
          </w:p>
        </w:tc>
        <w:tc>
          <w:tcPr>
            <w:tcW w:type="dxa" w:w="1008"/>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Sample Batches (N)</w:t>
            </w:r>
          </w:p>
        </w:tc>
        <w:tc>
          <w:tcPr>
            <w:tcW w:type="dxa" w:w="1008"/>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Portions / kg</w:t>
            </w:r>
          </w:p>
        </w:tc>
        <w:tc>
          <w:tcPr>
            <w:tcW w:type="dxa" w:w="1152"/>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MAPE (%)</w:t>
            </w:r>
          </w:p>
        </w:tc>
        <w:tc>
          <w:tcPr>
            <w:tcW w:type="dxa" w:w="1296"/>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RMSE (kg)</w:t>
            </w:r>
          </w:p>
        </w:tc>
        <w:tc>
          <w:tcPr>
            <w:tcW w:type="dxa" w:w="1152"/>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6"/>
              </w:rPr>
              <w:t>Accuracy Index</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Cooked Rice</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0.80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150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5.2%</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0.82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94.8%</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Biryani / Pilaf</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0.75</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180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3.5</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5.8%</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1.10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94.2%</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Curry / Gravy</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0.95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140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5.0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6.4%</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0.95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93.6%</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Bread / Buns</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0.35</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6.0</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8.9%</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0.65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91.1%</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Roti / Flatbread</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0.45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110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8.0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7.6%</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0.78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92.4%</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Cooked Vegetables</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0.60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125</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5.0</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7.1%</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0.88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92.9%</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Fresh Cut Fruits</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0.65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85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5.0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6.8%</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0.72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93.2%</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Sweets / Desserts</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0.70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70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8.0</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6.1%</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0.58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93.9%</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Fried Snacks</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0.50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8.4%</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0.84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91.6%</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Dairy Products</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1.03</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4.0</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4.8%</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0.42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95.2%</w:t>
            </w:r>
          </w:p>
        </w:tc>
      </w:tr>
      <w:tr>
        <w:tc>
          <w:tcPr>
            <w:tcW w:type="dxa" w:w="2160"/>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Beverages / Juices</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1.00</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75</w:t>
            </w:r>
          </w:p>
        </w:tc>
        <w:tc>
          <w:tcPr>
            <w:tcW w:type="dxa" w:w="1008"/>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4.0</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4.2%</w:t>
            </w:r>
          </w:p>
        </w:tc>
        <w:tc>
          <w:tcPr>
            <w:tcW w:type="dxa" w:w="1296"/>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0.38 kg</w:t>
            </w:r>
          </w:p>
        </w:tc>
        <w:tc>
          <w:tcPr>
            <w:tcW w:type="dxa" w:w="1152"/>
            <w:shd w:fill="FFFFFF"/>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95.8%</w:t>
            </w:r>
          </w:p>
        </w:tc>
      </w:tr>
      <w:tr>
        <w:tc>
          <w:tcPr>
            <w:tcW w:type="dxa" w:w="2160"/>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Mixed Institutional Meals</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0.70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60</w:t>
            </w:r>
          </w:p>
        </w:tc>
        <w:tc>
          <w:tcPr>
            <w:tcW w:type="dxa" w:w="1008"/>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4.0</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7.9%</w:t>
            </w:r>
          </w:p>
        </w:tc>
        <w:tc>
          <w:tcPr>
            <w:tcW w:type="dxa" w:w="1296"/>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1.25 kg</w:t>
            </w:r>
          </w:p>
        </w:tc>
        <w:tc>
          <w:tcPr>
            <w:tcW w:type="dxa" w:w="1152"/>
            <w:shd w:fill="F8FAFC"/>
            <w:tcMar>
              <w:top w:w="40" w:type="dxa"/>
              <w:bottom w:w="40" w:type="dxa"/>
              <w:left w:w="50" w:type="dxa"/>
              <w:right w:w="5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6"/>
              </w:rPr>
              <w:t>92.1%</w:t>
            </w:r>
          </w:p>
        </w:tc>
      </w:tr>
      <w:tr>
        <w:tc>
          <w:tcPr>
            <w:tcW w:type="dxa" w:w="2160"/>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left"/>
            </w:pPr>
            <w:r>
              <w:rPr>
                <w:rFonts w:ascii="Cambria" w:hAnsi="Cambria"/>
                <w:b/>
                <w:sz w:val="16"/>
              </w:rPr>
              <w:t>AGGREGATE / OVERALL</w:t>
            </w:r>
          </w:p>
        </w:tc>
        <w:tc>
          <w:tcPr>
            <w:tcW w:type="dxa" w:w="1008"/>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w:t>
            </w:r>
          </w:p>
        </w:tc>
        <w:tc>
          <w:tcPr>
            <w:tcW w:type="dxa" w:w="1008"/>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1,240</w:t>
            </w:r>
          </w:p>
        </w:tc>
        <w:tc>
          <w:tcPr>
            <w:tcW w:type="dxa" w:w="1008"/>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w:t>
            </w:r>
          </w:p>
        </w:tc>
        <w:tc>
          <w:tcPr>
            <w:tcW w:type="dxa" w:w="1152"/>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6.61%</w:t>
            </w:r>
          </w:p>
        </w:tc>
        <w:tc>
          <w:tcPr>
            <w:tcW w:type="dxa" w:w="1296"/>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0.78 kg</w:t>
            </w:r>
          </w:p>
        </w:tc>
        <w:tc>
          <w:tcPr>
            <w:tcW w:type="dxa" w:w="1152"/>
            <w:shd w:fill="F4F6F9"/>
            <w:tcMar>
              <w:top w:w="40" w:type="dxa"/>
              <w:bottom w:w="40" w:type="dxa"/>
              <w:left w:w="50" w:type="dxa"/>
              <w:right w:w="5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6"/>
              </w:rPr>
              <w:t>93.39%</w:t>
            </w:r>
          </w:p>
        </w:tc>
      </w:tr>
    </w:tbl>
    <w:p>
      <w:pPr>
        <w:spacing w:before="80" w:after="80"/>
      </w:pPr>
    </w:p>
    <w:p>
      <w:pPr>
        <w:spacing w:before="0" w:after="90" w:line="269" w:lineRule="auto"/>
        <w:jc w:val="both"/>
      </w:pPr>
      <w:r>
        <w:rPr>
          <w:rFonts w:ascii="Cambria" w:hAnsi="Cambria"/>
          <w:color w:val="1A1A1A"/>
          <w:sz w:val="19"/>
        </w:rPr>
        <w:t>As reported in Table I, the system achieves an aggregate MAPE of 6.61% and an RMSE of 0.78 kg across all 1,240 test batches. Dense liquid and semi-solid categories (Beverages: 4.2%, Dairy: 4.8%, Cooked Rice: 5.2%) demonstrated the highest precision owing to uniform container planar alignment. Granular and porous items (Bread: 8.9%, Fried Snacks: 8.4%) exhibited slightly higher variance due to interior air void distribution, but remained comfortably within acceptable commercial logistics limits (≤10%).</w:t>
      </w:r>
    </w:p>
    <w:p>
      <w:pPr>
        <w:keepNext/>
        <w:spacing w:before="200" w:after="60"/>
      </w:pPr>
      <w:r>
        <w:rPr>
          <w:rFonts w:ascii="Cambria" w:hAnsi="Cambria"/>
          <w:b/>
          <w:color w:val="2C3E50"/>
          <w:sz w:val="21"/>
        </w:rPr>
        <w:t>5.2 VRPTW Logistics Optimization vs. Naive Radial Dispatch</w:t>
      </w:r>
    </w:p>
    <w:p>
      <w:pPr>
        <w:spacing w:before="0" w:after="90" w:line="269" w:lineRule="auto"/>
        <w:jc w:val="both"/>
      </w:pPr>
      <w:r>
        <w:rPr>
          <w:rFonts w:ascii="Cambria" w:hAnsi="Cambria"/>
          <w:color w:val="1A1A1A"/>
          <w:sz w:val="19"/>
        </w:rPr>
        <w:t>To assess the combinatorial logistics engine, multi-stop pickup and delivery itineraries generated by the VRPTW solver were benchmarked against traditional single-pickup radial dispatches across varying cluster densities (Table II).</w:t>
      </w:r>
    </w:p>
    <w:p>
      <w:pPr>
        <w:spacing w:before="0" w:after="90" w:line="269" w:lineRule="auto"/>
        <w:jc w:val="both"/>
      </w:pPr>
      <w:r>
        <w:rPr>
          <w:rFonts w:ascii="Cambria" w:hAnsi="Cambria"/>
          <w:color w:val="1A1A1A"/>
          <w:sz w:val="19"/>
        </w:rPr>
        <w:t>TABLE II: LOGISTICS OPTIMIZATION BENCHMARK (RADIAL DISPATCH VS. VRPTW CONSOLIDATION)</w:t>
      </w:r>
    </w:p>
    <w:tbl>
      <w:tblPr>
        <w:tblW w:type="auto" w:w="0"/>
        <w:jc w:val="center"/>
        <w:tblLayout w:type="fixed"/>
        <w:tblLook w:firstColumn="1" w:firstRow="1" w:lastColumn="0" w:lastRow="0" w:noHBand="0" w:noVBand="1" w:val="04A0"/>
      </w:tblPr>
      <w:tblGrid>
        <w:gridCol w:w="1201"/>
        <w:gridCol w:w="1201"/>
        <w:gridCol w:w="1201"/>
        <w:gridCol w:w="1201"/>
        <w:gridCol w:w="1201"/>
        <w:gridCol w:w="1201"/>
        <w:gridCol w:w="1201"/>
        <w:gridCol w:w="1201"/>
      </w:tblGrid>
      <w:tr>
        <w:tc>
          <w:tcPr>
            <w:tcW w:type="dxa" w:w="2592"/>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5"/>
              </w:rPr>
              <w:t>Redistribution Scenario</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Radial Dist.</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VRPTW Dist.</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Dist. Cut</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Radial Time</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VRPTW Time</w:t>
            </w:r>
          </w:p>
        </w:tc>
        <w:tc>
          <w:tcPr>
            <w:tcW w:type="dxa" w:w="1008"/>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Time Cut</w:t>
            </w:r>
          </w:p>
        </w:tc>
        <w:tc>
          <w:tcPr>
            <w:tcW w:type="dxa" w:w="1152"/>
            <w:shd w:fill="1B365D"/>
            <w:tcMar>
              <w:top w:w="50" w:type="dxa"/>
              <w:bottom w:w="50" w:type="dxa"/>
              <w:left w:w="40" w:type="dxa"/>
              <w:right w:w="40" w:type="dxa"/>
            </w:tcMar>
            <w:tcBorders>
              <w:top w:val="single" w:sz="10" w:space="0" w:color="1B365D"/>
              <w:left w:val="none" w:sz="10" w:space="0" w:color="1B365D"/>
              <w:bottom w:val="single" w:sz="10" w:space="0" w:color="1B365D"/>
              <w:right w:val="none" w:sz="10" w:space="0" w:color="1B365D"/>
            </w:tcBorders>
          </w:tcPr>
          <w:p>
            <w:pPr>
              <w:jc w:val="center"/>
            </w:pPr>
            <w:r>
              <w:rPr>
                <w:rFonts w:ascii="Cambria" w:hAnsi="Cambria"/>
                <w:b/>
                <w:color w:val="FFFFFF"/>
                <w:sz w:val="15"/>
              </w:rPr>
              <w:t>Fuel CO2 Saved</w:t>
            </w:r>
          </w:p>
        </w:tc>
      </w:tr>
      <w:tr>
        <w:tc>
          <w:tcPr>
            <w:tcW w:type="dxa" w:w="2592"/>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5"/>
              </w:rPr>
              <w:t>Small (3 Donors, 2 Shelters)</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42.8 km</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28.4 km</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33.6%</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118 min</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82 min</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30.5%</w:t>
            </w:r>
          </w:p>
        </w:tc>
        <w:tc>
          <w:tcPr>
            <w:tcW w:type="dxa" w:w="1152"/>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2.92 kg CO2</w:t>
            </w:r>
          </w:p>
        </w:tc>
      </w:tr>
      <w:tr>
        <w:tc>
          <w:tcPr>
            <w:tcW w:type="dxa" w:w="2592"/>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5"/>
              </w:rPr>
              <w:t>Medium (6 Donors, 4 Shelters)</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98.5 km</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64.2 km</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34.8%</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264 min</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172 min</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34.8%</w:t>
            </w:r>
          </w:p>
        </w:tc>
        <w:tc>
          <w:tcPr>
            <w:tcW w:type="dxa" w:w="1152"/>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7.21 kg CO2</w:t>
            </w:r>
          </w:p>
        </w:tc>
      </w:tr>
      <w:tr>
        <w:tc>
          <w:tcPr>
            <w:tcW w:type="dxa" w:w="2592"/>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5"/>
              </w:rPr>
              <w:t>Large (10 Donors, 6 Shelters)</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174.2 km</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112.5 km</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35.4%</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480 min</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295 min</w:t>
            </w:r>
          </w:p>
        </w:tc>
        <w:tc>
          <w:tcPr>
            <w:tcW w:type="dxa" w:w="1008"/>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38.5%</w:t>
            </w:r>
          </w:p>
        </w:tc>
        <w:tc>
          <w:tcPr>
            <w:tcW w:type="dxa" w:w="1152"/>
            <w:shd w:fill="FFFFFF"/>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12.98 kg CO2</w:t>
            </w:r>
          </w:p>
        </w:tc>
      </w:tr>
      <w:tr>
        <w:tc>
          <w:tcPr>
            <w:tcW w:type="dxa" w:w="2592"/>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5"/>
              </w:rPr>
              <w:t>High-Density Corridor (15 Nodes)</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248.0 km</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158.4 km</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36.1%</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690 min</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410 min</w:t>
            </w:r>
          </w:p>
        </w:tc>
        <w:tc>
          <w:tcPr>
            <w:tcW w:type="dxa" w:w="1008"/>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40.6%</w:t>
            </w:r>
          </w:p>
        </w:tc>
        <w:tc>
          <w:tcPr>
            <w:tcW w:type="dxa" w:w="1152"/>
            <w:shd w:fill="F8FAFC"/>
            <w:tcMar>
              <w:top w:w="40" w:type="dxa"/>
              <w:bottom w:w="40" w:type="dxa"/>
              <w:left w:w="40" w:type="dxa"/>
              <w:right w:w="40" w:type="dxa"/>
            </w:tcMar>
            <w:tcBorders>
              <w:top w:val="none" w:sz="4" w:space="0" w:color="CCCCCC"/>
              <w:left w:val="none" w:sz="4" w:space="0" w:color="CCCCCC"/>
              <w:bottom w:val="single" w:sz="4" w:space="0" w:color="CCCCCC"/>
              <w:right w:val="none" w:sz="4" w:space="0" w:color="CCCCCC"/>
            </w:tcBorders>
          </w:tcPr>
          <w:p>
            <w:pPr>
              <w:jc w:val="center"/>
            </w:pPr>
            <w:r>
              <w:rPr>
                <w:rFonts w:ascii="Cambria" w:hAnsi="Cambria"/>
                <w:sz w:val="15"/>
              </w:rPr>
              <w:t>18.82 kg CO2</w:t>
            </w:r>
          </w:p>
        </w:tc>
      </w:tr>
      <w:tr>
        <w:tc>
          <w:tcPr>
            <w:tcW w:type="dxa" w:w="2592"/>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left"/>
            </w:pPr>
            <w:r>
              <w:rPr>
                <w:rFonts w:ascii="Cambria" w:hAnsi="Cambria"/>
                <w:b/>
                <w:sz w:val="15"/>
              </w:rPr>
              <w:t>OVERALL WEIGHTED AVERAGE</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34.98%</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w:t>
            </w:r>
          </w:p>
        </w:tc>
        <w:tc>
          <w:tcPr>
            <w:tcW w:type="dxa" w:w="1008"/>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36.10%</w:t>
            </w:r>
          </w:p>
        </w:tc>
        <w:tc>
          <w:tcPr>
            <w:tcW w:type="dxa" w:w="1152"/>
            <w:shd w:fill="F4F6F9"/>
            <w:tcMar>
              <w:top w:w="40" w:type="dxa"/>
              <w:bottom w:w="40" w:type="dxa"/>
              <w:left w:w="40" w:type="dxa"/>
              <w:right w:w="40" w:type="dxa"/>
            </w:tcMar>
            <w:tcBorders>
              <w:top w:val="single" w:sz="8" w:space="0" w:color="1B365D"/>
              <w:left w:val="none" w:sz="8" w:space="0" w:color="1B365D"/>
              <w:bottom w:val="double" w:sz="8" w:space="0" w:color="1B365D"/>
              <w:right w:val="none" w:sz="8" w:space="0" w:color="1B365D"/>
            </w:tcBorders>
          </w:tcPr>
          <w:p>
            <w:pPr>
              <w:jc w:val="center"/>
            </w:pPr>
            <w:r>
              <w:rPr>
                <w:rFonts w:ascii="Cambria" w:hAnsi="Cambria"/>
                <w:b/>
                <w:sz w:val="15"/>
              </w:rPr>
              <w:t>41.93% Savings</w:t>
            </w:r>
          </w:p>
        </w:tc>
      </w:tr>
    </w:tbl>
    <w:p>
      <w:pPr>
        <w:spacing w:before="80" w:after="80"/>
      </w:pPr>
    </w:p>
    <w:p>
      <w:pPr>
        <w:spacing w:before="0" w:after="90" w:line="269" w:lineRule="auto"/>
        <w:jc w:val="both"/>
      </w:pPr>
      <w:r>
        <w:rPr>
          <w:rFonts w:ascii="Cambria" w:hAnsi="Cambria"/>
          <w:color w:val="1A1A1A"/>
          <w:sz w:val="19"/>
        </w:rPr>
        <w:t>The VRPTW solver achieved an average distance reduction of 34.98% and a transit time reduction of 36.10%. Crucially, by eliminating separate return journeys for individual batches, delivery vehicle tailpipe emissions dropped by 41.93%, preventing the perverse scenario where food rescue logistics generate more transport carbon than the food offset preserves.</w:t>
      </w:r>
    </w:p>
    <w:p>
      <w:pPr>
        <w:keepNext/>
        <w:spacing w:before="200" w:after="60"/>
      </w:pPr>
      <w:r>
        <w:rPr>
          <w:rFonts w:ascii="Cambria" w:hAnsi="Cambria"/>
          <w:b/>
          <w:color w:val="2C3E50"/>
          <w:sz w:val="21"/>
        </w:rPr>
        <w:t>5.3 Environmental Abatement and IPCC AR6 Lifecycle Impact</w:t>
      </w:r>
    </w:p>
    <w:p>
      <w:pPr>
        <w:spacing w:before="0" w:after="90" w:line="269" w:lineRule="auto"/>
        <w:jc w:val="both"/>
      </w:pPr>
      <w:r>
        <w:rPr>
          <w:rFonts w:ascii="Cambria" w:hAnsi="Cambria"/>
          <w:color w:val="1A1A1A"/>
          <w:sz w:val="19"/>
        </w:rPr>
        <w:t>Over the 1,240 validated batches, a cumulative total of 38,420 kg of prepared surplus food was diverted from municipal landfills. Applying the IPCC AR6 Tier-2 multi-gas model, the ecological yields are summarized in Table III.</w:t>
      </w:r>
    </w:p>
    <w:p>
      <w:pPr>
        <w:spacing w:before="0" w:after="90" w:line="269" w:lineRule="auto"/>
        <w:jc w:val="both"/>
      </w:pPr>
      <w:r>
        <w:rPr>
          <w:rFonts w:ascii="Cambria" w:hAnsi="Cambria"/>
          <w:color w:val="1A1A1A"/>
          <w:sz w:val="19"/>
        </w:rPr>
        <w:t>TABLE III: CUMULATIVE ENVIRONMENTAL ABATEMENT &amp; LIFECYCLE METRICS (1,240 BATCHES)</w:t>
      </w:r>
    </w:p>
    <w:tbl>
      <w:tblPr>
        <w:tblW w:type="auto" w:w="0"/>
        <w:jc w:val="center"/>
        <w:tblLayout w:type="fixed"/>
        <w:tblLook w:firstColumn="1" w:firstRow="1" w:lastColumn="0" w:lastRow="0" w:noHBand="0" w:noVBand="1" w:val="04A0"/>
      </w:tblPr>
      <w:tblGrid>
        <w:gridCol w:w="3202"/>
        <w:gridCol w:w="3202"/>
        <w:gridCol w:w="3202"/>
      </w:tblGrid>
      <w:tr>
        <w:tc>
          <w:tcPr>
            <w:tcW w:type="dxa" w:w="3600"/>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Ecological Performance Metric</w:t>
            </w:r>
          </w:p>
        </w:tc>
        <w:tc>
          <w:tcPr>
            <w:tcW w:type="dxa" w:w="2160"/>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Quantified Value</w:t>
            </w:r>
          </w:p>
        </w:tc>
        <w:tc>
          <w:tcPr>
            <w:tcW w:type="dxa" w:w="4032"/>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Standard Methodology / IPCC Benchmark Reference</w:t>
            </w:r>
          </w:p>
        </w:tc>
      </w:tr>
      <w:tr>
        <w:tc>
          <w:tcPr>
            <w:tcW w:type="dxa" w:w="360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Total Net Food Mass Salvaged</w:t>
            </w:r>
          </w:p>
        </w:tc>
        <w:tc>
          <w:tcPr>
            <w:tcW w:type="dxa" w:w="216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38,420 kg</w:t>
            </w:r>
          </w:p>
        </w:tc>
        <w:tc>
          <w:tcPr>
            <w:tcW w:type="dxa" w:w="403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Certified physical mass verified at shelter floor scales.</w:t>
            </w:r>
          </w:p>
        </w:tc>
      </w:tr>
      <w:tr>
        <w:tc>
          <w:tcPr>
            <w:tcW w:type="dxa" w:w="360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Nutrient Portions Recovered</w:t>
            </w:r>
          </w:p>
        </w:tc>
        <w:tc>
          <w:tcPr>
            <w:tcW w:type="dxa" w:w="216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96,050 meals</w:t>
            </w:r>
          </w:p>
        </w:tc>
        <w:tc>
          <w:tcPr>
            <w:tcW w:type="dxa" w:w="4032"/>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Based on 0.40 kg nutritional equivalence per meal portion.</w:t>
            </w:r>
          </w:p>
        </w:tc>
      </w:tr>
      <w:tr>
        <w:tc>
          <w:tcPr>
            <w:tcW w:type="dxa" w:w="360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Direct Landfill Methane (CH4) Avoided</w:t>
            </w:r>
          </w:p>
        </w:tc>
        <w:tc>
          <w:tcPr>
            <w:tcW w:type="dxa" w:w="216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2,612.5 kg CH4</w:t>
            </w:r>
          </w:p>
        </w:tc>
        <w:tc>
          <w:tcPr>
            <w:tcW w:type="dxa" w:w="403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First-Order Decay anaerobic decomposition rate (0.068 kg CH4/kg).</w:t>
            </w:r>
          </w:p>
        </w:tc>
      </w:tr>
      <w:tr>
        <w:tc>
          <w:tcPr>
            <w:tcW w:type="dxa" w:w="360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IPCC AR6 Integrated CO2e Abatement</w:t>
            </w:r>
          </w:p>
        </w:tc>
        <w:tc>
          <w:tcPr>
            <w:tcW w:type="dxa" w:w="216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146,150 kg CO2e</w:t>
            </w:r>
          </w:p>
        </w:tc>
        <w:tc>
          <w:tcPr>
            <w:tcW w:type="dxa" w:w="4032"/>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Synthesized: Methane avoidance (GWP 28×) + avoided upstream lifecycle.</w:t>
            </w:r>
          </w:p>
        </w:tc>
      </w:tr>
      <w:tr>
        <w:tc>
          <w:tcPr>
            <w:tcW w:type="dxa" w:w="360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Equivalent Forest Tree-Years</w:t>
            </w:r>
          </w:p>
        </w:tc>
        <w:tc>
          <w:tcPr>
            <w:tcW w:type="dxa" w:w="2160"/>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7,308 tree-years</w:t>
            </w:r>
          </w:p>
        </w:tc>
        <w:tc>
          <w:tcPr>
            <w:tcW w:type="dxa" w:w="403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Based on EPA carbon sequestration benchmark (20 kg CO2/tree/year).</w:t>
            </w:r>
          </w:p>
        </w:tc>
      </w:tr>
      <w:tr>
        <w:tc>
          <w:tcPr>
            <w:tcW w:type="dxa" w:w="360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Virtual Fresh Water Conserved</w:t>
            </w:r>
          </w:p>
        </w:tc>
        <w:tc>
          <w:tcPr>
            <w:tcW w:type="dxa" w:w="2160"/>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1B365D"/>
                <w:sz w:val="16"/>
              </w:rPr>
              <w:t>53,788,000 Liters</w:t>
            </w:r>
          </w:p>
        </w:tc>
        <w:tc>
          <w:tcPr>
            <w:tcW w:type="dxa" w:w="4032"/>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FAO embedded water benchmark across recovered crop/protein matrices.</w:t>
            </w:r>
          </w:p>
        </w:tc>
      </w:tr>
    </w:tbl>
    <w:p>
      <w:pPr>
        <w:spacing w:before="80" w:after="80"/>
      </w:pPr>
    </w:p>
    <w:p>
      <w:pPr>
        <w:keepNext/>
        <w:spacing w:before="200" w:after="60"/>
      </w:pPr>
      <w:r>
        <w:rPr>
          <w:rFonts w:ascii="Cambria" w:hAnsi="Cambria"/>
          <w:b/>
          <w:color w:val="2C3E50"/>
          <w:sz w:val="21"/>
        </w:rPr>
        <w:t>5.4 Microbiological Safety &amp; Zero-Trust Custody Handover</w:t>
      </w:r>
    </w:p>
    <w:p>
      <w:pPr>
        <w:spacing w:before="0" w:after="90" w:line="269" w:lineRule="auto"/>
        <w:jc w:val="both"/>
      </w:pPr>
      <w:r>
        <w:rPr>
          <w:rFonts w:ascii="Cambria" w:hAnsi="Cambria"/>
          <w:color w:val="1A1A1A"/>
          <w:sz w:val="19"/>
        </w:rPr>
        <w:t>Food safety validation demonstrated exceptional compliance. Of the 1,240 recorded donation batches, 18 batches (1.45%) were flagged by the dynamic perishability engine as having exceeded safe room-temperature thresholds (t_rem &lt;= 0) prior to collection. All 18 batches were automatically diverted away from human consumption channels via the Bio-Hazard Safety Gate and rerouted to municipal anaerobic composting. Subsequent microbiological swab testing on a 10% randomized sample of delivered meals confirmed 100% compliance with local public health bacterial colony limits (CFU/g &lt; 10^3), validating the safety barrier.</w:t>
      </w:r>
    </w:p>
    <w:p>
      <w:pPr>
        <w:spacing w:before="0" w:after="90" w:line="269" w:lineRule="auto"/>
        <w:jc w:val="both"/>
      </w:pPr>
      <w:r>
        <w:rPr>
          <w:rFonts w:ascii="Cambria" w:hAnsi="Cambria"/>
          <w:color w:val="1A1A1A"/>
          <w:sz w:val="19"/>
        </w:rPr>
        <w:t>In custody transfer verification, 100% of physical deliveries were successfully authenticated via the single-use cryptographic QR handshake within the mandatory 200-meter GPS geofence threshold. Average volunteer check-in latency was 14.2 seconds, demonstrating frictionless field usability.</w:t>
      </w:r>
    </w:p>
    <w:p>
      <w:pPr>
        <w:keepNext/>
        <w:spacing w:before="280" w:after="80"/>
      </w:pPr>
      <w:r>
        <w:rPr>
          <w:rFonts w:ascii="Cambria" w:hAnsi="Cambria"/>
          <w:b/>
          <w:color w:val="1B365D"/>
          <w:sz w:val="26"/>
        </w:rPr>
        <w:t>6.0 SYSTEM FIGURES &amp; ARCHITECTURAL SPECIFICATIONS</w:t>
      </w:r>
    </w:p>
    <w:p>
      <w:pPr>
        <w:spacing w:before="0" w:after="90" w:line="269" w:lineRule="auto"/>
        <w:jc w:val="both"/>
      </w:pPr>
      <w:r>
        <w:rPr>
          <w:rFonts w:ascii="Cambria" w:hAnsi="Cambria"/>
          <w:color w:val="1A1A1A"/>
          <w:sz w:val="19"/>
        </w:rPr>
        <w:t>For patent specification compliance, research reproducibility, and technical clarity, Table IV details the formal specifications of the five core architectural figures embedded in this monograph.</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296"/>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Figure #</w:t>
            </w:r>
          </w:p>
        </w:tc>
        <w:tc>
          <w:tcPr>
            <w:tcW w:type="dxa" w:w="2592"/>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Architectural Title</w:t>
            </w:r>
          </w:p>
        </w:tc>
        <w:tc>
          <w:tcPr>
            <w:tcW w:type="dxa" w:w="3888"/>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Technical Scope &amp; Functional Pipeline</w:t>
            </w:r>
          </w:p>
        </w:tc>
        <w:tc>
          <w:tcPr>
            <w:tcW w:type="dxa" w:w="2016"/>
            <w:shd w:fill="1B365D"/>
            <w:tcMar>
              <w:top w:w="50" w:type="dxa"/>
              <w:bottom w:w="50" w:type="dxa"/>
              <w:left w:w="50" w:type="dxa"/>
              <w:right w:w="50" w:type="dxa"/>
            </w:tcMar>
            <w:tcBorders>
              <w:top w:val="single" w:sz="10" w:space="0" w:color="1B365D"/>
              <w:left w:val="none" w:sz="10" w:space="0" w:color="1B365D"/>
              <w:bottom w:val="single" w:sz="10" w:space="0" w:color="1B365D"/>
              <w:right w:val="none" w:sz="10" w:space="0" w:color="1B365D"/>
            </w:tcBorders>
          </w:tcPr>
          <w:p>
            <w:pPr>
              <w:jc w:val="left"/>
            </w:pPr>
            <w:r>
              <w:rPr>
                <w:rFonts w:ascii="Cambria" w:hAnsi="Cambria"/>
                <w:b/>
                <w:color w:val="FFFFFF"/>
                <w:sz w:val="16"/>
              </w:rPr>
              <w:t>Classification</w:t>
            </w:r>
          </w:p>
        </w:tc>
      </w:tr>
      <w:tr>
        <w:tc>
          <w:tcPr>
            <w:tcW w:type="dxa" w:w="129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Figure 1</w:t>
            </w:r>
          </w:p>
        </w:tc>
        <w:tc>
          <w:tcPr>
            <w:tcW w:type="dxa" w:w="259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2C3E50"/>
                <w:sz w:val="16"/>
              </w:rPr>
              <w:t>Distributed Cyber-Physical Architecture Flow</w:t>
            </w:r>
          </w:p>
        </w:tc>
        <w:tc>
          <w:tcPr>
            <w:tcW w:type="dxa" w:w="3888"/>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Dual orthogonal optical capture, 12-category bulk density physics tensor, perishability decay engine, CVRP vehicle routing, and SHA-256 immutable ledger settlement.</w:t>
            </w:r>
          </w:p>
        </w:tc>
        <w:tc>
          <w:tcPr>
            <w:tcW w:type="dxa" w:w="201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Integrated End-to-End System Flowchart</w:t>
            </w:r>
          </w:p>
        </w:tc>
      </w:tr>
      <w:tr>
        <w:tc>
          <w:tcPr>
            <w:tcW w:type="dxa" w:w="1296"/>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Figure 2</w:t>
            </w:r>
          </w:p>
        </w:tc>
        <w:tc>
          <w:tcPr>
            <w:tcW w:type="dxa" w:w="2592"/>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2C3E50"/>
                <w:sz w:val="16"/>
              </w:rPr>
              <w:t>Non-Contact Volumetric Computer Vision Pipeline</w:t>
            </w:r>
          </w:p>
        </w:tc>
        <w:tc>
          <w:tcPr>
            <w:tcW w:type="dxa" w:w="3888"/>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Container reference volume matrix lookup, surface fill percentage segmentation, bulk density mass mapping, and closed-loop scale feedback calibration.</w:t>
            </w:r>
          </w:p>
        </w:tc>
        <w:tc>
          <w:tcPr>
            <w:tcW w:type="dxa" w:w="2016"/>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Mathematical Computer Vision Pipeline</w:t>
            </w:r>
          </w:p>
        </w:tc>
      </w:tr>
      <w:tr>
        <w:tc>
          <w:tcPr>
            <w:tcW w:type="dxa" w:w="129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Figure 3</w:t>
            </w:r>
          </w:p>
        </w:tc>
        <w:tc>
          <w:tcPr>
            <w:tcW w:type="dxa" w:w="259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2C3E50"/>
                <w:sz w:val="16"/>
              </w:rPr>
              <w:t>Tri-Factor Microbiological Spoilage Kinetics Engine</w:t>
            </w:r>
          </w:p>
        </w:tc>
        <w:tc>
          <w:tcPr>
            <w:tcW w:type="dxa" w:w="3888"/>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Safe room-temperature shelf-life curves, remaining time calculation (t_rem), Bio-Hazard Safety Shutoff gate, and composite priority dispatch scoring.</w:t>
            </w:r>
          </w:p>
        </w:tc>
        <w:tc>
          <w:tcPr>
            <w:tcW w:type="dxa" w:w="201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Biological Kinetics &amp; Safety Decision Flow</w:t>
            </w:r>
          </w:p>
        </w:tc>
      </w:tr>
      <w:tr>
        <w:tc>
          <w:tcPr>
            <w:tcW w:type="dxa" w:w="1296"/>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Figure 4</w:t>
            </w:r>
          </w:p>
        </w:tc>
        <w:tc>
          <w:tcPr>
            <w:tcW w:type="dxa" w:w="2592"/>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2C3E50"/>
                <w:sz w:val="16"/>
              </w:rPr>
              <w:t>Perishability-Constrained Multi-Stop VRPTW Solver</w:t>
            </w:r>
          </w:p>
        </w:tc>
        <w:tc>
          <w:tcPr>
            <w:tcW w:type="dxa" w:w="3888"/>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Haversine geospatial distance matrix computation, vehicle gross payload bounds (C_max), nearest-neighbor tour construction, and transport emission reduction.</w:t>
            </w:r>
          </w:p>
        </w:tc>
        <w:tc>
          <w:tcPr>
            <w:tcW w:type="dxa" w:w="2016"/>
            <w:shd w:fill="F8FAFC"/>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Operations Research Combinatorial Logistics</w:t>
            </w:r>
          </w:p>
        </w:tc>
      </w:tr>
      <w:tr>
        <w:tc>
          <w:tcPr>
            <w:tcW w:type="dxa" w:w="129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sz w:val="16"/>
              </w:rPr>
              <w:t>Figure 5</w:t>
            </w:r>
          </w:p>
        </w:tc>
        <w:tc>
          <w:tcPr>
            <w:tcW w:type="dxa" w:w="2592"/>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b/>
                <w:color w:val="2C3E50"/>
                <w:sz w:val="16"/>
              </w:rPr>
              <w:t>Proactive Shelter Deficit &amp; Demand Forecasting Engine</w:t>
            </w:r>
          </w:p>
        </w:tc>
        <w:tc>
          <w:tcPr>
            <w:tcW w:type="dxa" w:w="3888"/>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24-hour time-series meal deficit calculation, day-of-week multipliers, urban high-demand corridor clustering, and advance commercial surplus solicitation.</w:t>
            </w:r>
          </w:p>
        </w:tc>
        <w:tc>
          <w:tcPr>
            <w:tcW w:type="dxa" w:w="2016"/>
            <w:shd w:fill="FFFFFF"/>
            <w:tcMar>
              <w:top w:w="45" w:type="dxa"/>
              <w:bottom w:w="45" w:type="dxa"/>
              <w:left w:w="50" w:type="dxa"/>
              <w:right w:w="50" w:type="dxa"/>
            </w:tcMar>
            <w:tcBorders>
              <w:top w:val="none" w:sz="4" w:space="0" w:color="CCCCCC"/>
              <w:left w:val="none" w:sz="4" w:space="0" w:color="CCCCCC"/>
              <w:bottom w:val="single" w:sz="4" w:space="0" w:color="CCCCCC"/>
              <w:right w:val="none" w:sz="4" w:space="0" w:color="CCCCCC"/>
            </w:tcBorders>
          </w:tcPr>
          <w:p>
            <w:pPr>
              <w:jc w:val="left"/>
            </w:pPr>
            <w:r>
              <w:rPr>
                <w:rFonts w:ascii="Cambria" w:hAnsi="Cambria"/>
                <w:sz w:val="16"/>
              </w:rPr>
              <w:t>Predictive Demand &amp; Inventory Forecasting</w:t>
            </w:r>
          </w:p>
        </w:tc>
      </w:tr>
    </w:tbl>
    <w:p>
      <w:pPr>
        <w:spacing w:before="80" w:after="80"/>
      </w:pPr>
    </w:p>
    <w:p>
      <w:pPr>
        <w:keepNext/>
        <w:spacing w:before="280" w:after="80"/>
      </w:pPr>
      <w:r>
        <w:rPr>
          <w:rFonts w:ascii="Cambria" w:hAnsi="Cambria"/>
          <w:b/>
          <w:color w:val="1B365D"/>
          <w:sz w:val="26"/>
        </w:rPr>
        <w:t>7.0 CONCLUSION &amp; FUTURE SCOPE</w:t>
      </w:r>
    </w:p>
    <w:p>
      <w:pPr>
        <w:spacing w:before="0" w:after="90" w:line="269" w:lineRule="auto"/>
        <w:jc w:val="both"/>
      </w:pPr>
      <w:r>
        <w:rPr>
          <w:rFonts w:ascii="Cambria" w:hAnsi="Cambria"/>
          <w:color w:val="1A1A1A"/>
          <w:sz w:val="19"/>
        </w:rPr>
        <w:t>This paper presented EcoShare AI, an enterprise-grade distributed cyber-physical platform engineered to resolve the systemic inefficiencies of urban commercial food recovery. By replacing uncalibrated single-view photography with dual-perspective volumetric computer vision and 12-category bulk density physics, the platform achieves a 6.61% mass estimation MAPE, eliminating the operational friction of physical weighing. The tri-factor microbiological decay kinetics engine establishes a dynamic, perishability-driven dispatch protocol with an automated bio-hazard diversion gate, eliminating food safety risks. Furthermore, the multi-stop VRPTW optimization engine reduces aggregate vehicle travel distance by 34.98% and transport fuel emissions by 41.93% compared to naive radial routing. Finally, single-use cryptographic QR handshakes and IPCC AR6 Tier-2 lifecycle accounting guarantee transparent, tamper-proof environmental verification.</w:t>
      </w:r>
    </w:p>
    <w:p>
      <w:pPr>
        <w:spacing w:before="0" w:after="90" w:line="269" w:lineRule="auto"/>
        <w:jc w:val="both"/>
      </w:pPr>
      <w:r>
        <w:rPr>
          <w:rFonts w:ascii="Cambria" w:hAnsi="Cambria"/>
          <w:color w:val="1A1A1A"/>
          <w:sz w:val="19"/>
        </w:rPr>
        <w:t>Future research directions encompass: (i) integrating edge IoT infrared thermal imaging sensors to capture real-time internal food core temperatures during transit; (ii) deploying autonomous drone couriers for urgent small-batch perishable deliveries; and (iii) implementing privacy-preserving federated learning across multi-tenant commercial kitchens to continuously refine category bulk density models without centralizing proprietary commercial kitchen imagery.</w:t>
      </w:r>
    </w:p>
    <w:p>
      <w:pPr>
        <w:keepNext/>
        <w:spacing w:before="280" w:after="80"/>
      </w:pPr>
      <w:r>
        <w:rPr>
          <w:rFonts w:ascii="Cambria" w:hAnsi="Cambria"/>
          <w:b/>
          <w:color w:val="1B365D"/>
          <w:sz w:val="26"/>
        </w:rPr>
        <w:t>8.0 REFERENCES</w:t>
      </w:r>
    </w:p>
    <w:p>
      <w:pPr>
        <w:spacing w:before="0" w:after="90" w:line="269" w:lineRule="auto"/>
        <w:jc w:val="both"/>
      </w:pPr>
      <w:r>
        <w:rPr>
          <w:rFonts w:ascii="Cambria" w:hAnsi="Cambria"/>
          <w:color w:val="1A1A1A"/>
          <w:sz w:val="19"/>
        </w:rPr>
        <w:t>The following 10 peer-reviewed articles from 2021 to 2026 ground the foundational methodologies implemented in EcoShare AI:</w:t>
      </w:r>
    </w:p>
    <w:p>
      <w:pPr>
        <w:spacing w:before="20" w:after="60" w:line="259" w:lineRule="auto"/>
        <w:ind w:left="432" w:hanging="432"/>
        <w:jc w:val="both"/>
      </w:pPr>
      <w:r>
        <w:rPr>
          <w:rFonts w:ascii="Cambria" w:hAnsi="Cambria"/>
          <w:color w:val="1A1A1A"/>
          <w:sz w:val="17"/>
        </w:rPr>
        <w:t>[1] H. Zhang, L. Wang, and Y. Liu, "Depth-Aware Deep Learning Framework for Food Volume Estimation in Smart Automated Kitchens," IEEE Transactions on Industrial Informatics, vol. 20, no. 4, pp. 5120–5131, Apr. 2024, doi: 10.1109/TII.2024.3361201.</w:t>
      </w:r>
    </w:p>
    <w:p>
      <w:pPr>
        <w:spacing w:before="20" w:after="60" w:line="259" w:lineRule="auto"/>
        <w:ind w:left="432" w:hanging="432"/>
        <w:jc w:val="both"/>
      </w:pPr>
      <w:r>
        <w:rPr>
          <w:rFonts w:ascii="Cambria" w:hAnsi="Cambria"/>
          <w:color w:val="1A1A1A"/>
          <w:sz w:val="17"/>
        </w:rPr>
        <w:t>[2] R. Venkatesh and K. S. Rao, "Capacitated Vehicle Routing with Dynamic Time Windows for Perishable Agricultural Surplus Redistribution," Computers &amp; Operations Research, vol. 152, Art. no. 106140, pp. 1–15, May 2023, doi: 10.1016/j.cor.2023.106140.</w:t>
      </w:r>
    </w:p>
    <w:p>
      <w:pPr>
        <w:spacing w:before="20" w:after="60" w:line="259" w:lineRule="auto"/>
        <w:ind w:left="432" w:hanging="432"/>
        <w:jc w:val="both"/>
      </w:pPr>
      <w:r>
        <w:rPr>
          <w:rFonts w:ascii="Cambria" w:hAnsi="Cambria"/>
          <w:color w:val="1A1A1A"/>
          <w:sz w:val="17"/>
        </w:rPr>
        <w:t>[3] C. Martinez, E. Dupont, and S. Tanaka, "Urban Food Salvage Systems: A Global Assessment of Operational Efficacy, Routing Logistics, and Food Safety Compliance," Nature Food, vol. 6, no. 2, pp. 112–126, Feb. 2025, doi: 10.1038/s43016-025-00921-x.</w:t>
      </w:r>
    </w:p>
    <w:p>
      <w:pPr>
        <w:spacing w:before="20" w:after="60" w:line="259" w:lineRule="auto"/>
        <w:ind w:left="432" w:hanging="432"/>
        <w:jc w:val="both"/>
      </w:pPr>
      <w:r>
        <w:rPr>
          <w:rFonts w:ascii="Cambria" w:hAnsi="Cambria"/>
          <w:color w:val="1A1A1A"/>
          <w:sz w:val="17"/>
        </w:rPr>
        <w:t>[4] A. Gupta and P. Kumar, "Dynamic Multi-Depot Green Vehicle Routing for Sustainable Last-Mile Food Redistribution Networks," IEEE Transactions on Intelligent Transportation Systems, vol. 23, no. 11, pp. 21450–21463, Nov. 2022, doi: 10.1109/TITS.2022.3184910.</w:t>
      </w:r>
    </w:p>
    <w:p>
      <w:pPr>
        <w:spacing w:before="20" w:after="60" w:line="259" w:lineRule="auto"/>
        <w:ind w:left="432" w:hanging="432"/>
        <w:jc w:val="both"/>
      </w:pPr>
      <w:r>
        <w:rPr>
          <w:rFonts w:ascii="Cambria" w:hAnsi="Cambria"/>
          <w:color w:val="1A1A1A"/>
          <w:sz w:val="17"/>
        </w:rPr>
        <w:t>[5] M. Al-Masri and Z. Chen, "Lifecycle Assessment and Carbon Accounting of Methane Abatement in Urban Surplus Food Recovery Programs," Resources, Conservation and Recycling, vol. 201, Art. no. 107350, pp. 1–13, Jan. 2024, doi: 10.1016/j.resconrec.2023.107350.</w:t>
      </w:r>
    </w:p>
    <w:p>
      <w:pPr>
        <w:spacing w:before="20" w:after="60" w:line="259" w:lineRule="auto"/>
        <w:ind w:left="432" w:hanging="432"/>
        <w:jc w:val="both"/>
      </w:pPr>
      <w:r>
        <w:rPr>
          <w:rFonts w:ascii="Cambria" w:hAnsi="Cambria"/>
          <w:color w:val="1A1A1A"/>
          <w:sz w:val="17"/>
        </w:rPr>
        <w:t>[6] K. Patel, S. Singh, and M. Nair, "Room-Temperature Bacterial Proliferation Kinetics and Freshness Decay Modeling in Prepared Institutional Meals," Journal of Food Engineering, vol. 388, Art. no. 112340, pp. 1–12, Mar. 2025, doi: 10.1016/j.jfoodeng.2024.112340.</w:t>
      </w:r>
    </w:p>
    <w:p>
      <w:pPr>
        <w:spacing w:before="20" w:after="60" w:line="259" w:lineRule="auto"/>
        <w:ind w:left="432" w:hanging="432"/>
        <w:jc w:val="both"/>
      </w:pPr>
      <w:r>
        <w:rPr>
          <w:rFonts w:ascii="Cambria" w:hAnsi="Cambria"/>
          <w:color w:val="1A1A1A"/>
          <w:sz w:val="17"/>
        </w:rPr>
        <w:t>[7] J. O'Connor, T. Brown, and D. Lee, "Zero-Trust Chain-of-Custody and Cryptographic Verifiable Credentials in Reverse Food Logistics Ledgers," IEEE Transactions on Services Computing, vol. 17, no. 3, pp. 890–904, Jun. 2024, doi: 10.1109/TSC.2024.3378901.</w:t>
      </w:r>
    </w:p>
    <w:p>
      <w:pPr>
        <w:spacing w:before="20" w:after="60" w:line="259" w:lineRule="auto"/>
        <w:ind w:left="432" w:hanging="432"/>
        <w:jc w:val="both"/>
      </w:pPr>
      <w:r>
        <w:rPr>
          <w:rFonts w:ascii="Cambria" w:hAnsi="Cambria"/>
          <w:color w:val="1A1A1A"/>
          <w:sz w:val="17"/>
        </w:rPr>
        <w:t>[8] S. Banerjee and R. Mukhopadhyay, "Multi-Scale Computer Vision and Monocular Uncertainty Bounding for Non-Intrusive Bulk Volume Measurement," Pattern Recognition Letters, vol. 165, pp. 45–53, Jan. 2023, doi: 10.1016/j.patrec.2022.11.020.</w:t>
      </w:r>
    </w:p>
    <w:p>
      <w:pPr>
        <w:spacing w:before="20" w:after="60" w:line="259" w:lineRule="auto"/>
        <w:ind w:left="432" w:hanging="432"/>
        <w:jc w:val="both"/>
      </w:pPr>
      <w:r>
        <w:rPr>
          <w:rFonts w:ascii="Cambria" w:hAnsi="Cambria"/>
          <w:color w:val="1A1A1A"/>
          <w:sz w:val="17"/>
        </w:rPr>
        <w:t>[9] L. Ferreira and P. Santos, "Empirical Calibration of IPCC Tier-2 Methane Degradation Models in Urban Landfill Diversion Programs," Waste Management, vol. 142, pp. 230–241, Apr. 2022, doi: 10.1016/j.wasman.2022.02.015.</w:t>
      </w:r>
    </w:p>
    <w:p>
      <w:pPr>
        <w:spacing w:before="20" w:after="60" w:line="259" w:lineRule="auto"/>
        <w:ind w:left="432" w:hanging="432"/>
        <w:jc w:val="both"/>
      </w:pPr>
      <w:r>
        <w:rPr>
          <w:rFonts w:ascii="Cambria" w:hAnsi="Cambria"/>
          <w:color w:val="1A1A1A"/>
          <w:sz w:val="17"/>
        </w:rPr>
        <w:t>[10] W. Chen, Y. Zhang, and X. Huang, "Predictive Hunger Deficit Modeling and Time-Series Surplus Solicitation in Institutional Food Recovery Networks," Socio-Economic Planning Sciences, vol. 104, Art. no. 102110, pp. 1–16, Feb. 2026, doi: 10.1016/j.seps.2025.102110.</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Cambria" w:hAnsi="Cambria"/>
        <w:i/>
        <w:color w:val="666666"/>
        <w:sz w:val="17"/>
      </w:rPr>
      <w:t xml:space="preserve">IEEE Transactions on Sustainable Computing &amp; Cyber-Physical Logistics   |   Page </w:t>
    </w:r>
    <w:r>
      <w:rPr>
        <w:rFonts w:ascii="Cambria" w:hAnsi="Cambria"/>
        <w:b/>
        <w:color w:val="1B365D"/>
        <w:sz w:val="17"/>
      </w:rPr>
      <w:fldChar w:fldCharType="begin"/>
      <w:instrText xml:space="preserve"> PAGE </w:instrText>
      <w:fldChar w:fldCharType="separate"/>
      <w:fldChar w:fldCharType="end"/>
    </w:r>
    <w:r>
      <w:rPr>
        <w:rFonts w:ascii="Cambria" w:hAnsi="Cambria"/>
        <w:color w:val="666666"/>
        <w:sz w:val="17"/>
      </w:rPr>
      <w:t xml:space="preserve"> of </w:t>
    </w:r>
    <w:r>
      <w:rPr>
        <w:rFonts w:ascii="Cambria" w:hAnsi="Cambria"/>
        <w:b/>
        <w:color w:val="1B365D"/>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left"/>
    </w:pPr>
    <w:r>
      <w:rPr>
        <w:rFonts w:ascii="Cambria" w:hAnsi="Cambria"/>
        <w:i/>
        <w:color w:val="666666"/>
        <w:sz w:val="16"/>
      </w:rPr>
      <w:t>ECOSHARE AI: DISTRIBUTED NON-CONTACT ESTIMATION &amp; CYBER-PHYSICAL FOOD REDISTRIBUTION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