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33E5" w14:textId="77777777" w:rsidR="000477DA" w:rsidRDefault="000E2D23">
      <w:pPr>
        <w:spacing w:after="20"/>
        <w:jc w:val="right"/>
      </w:pPr>
      <w:r>
        <w:rPr>
          <w:rFonts w:ascii="Cambria" w:hAnsi="Cambria"/>
          <w:b/>
          <w:color w:val="000000"/>
          <w:sz w:val="18"/>
        </w:rPr>
        <w:t>SHEET 1 OF 6</w:t>
      </w:r>
    </w:p>
    <w:p w14:paraId="608DA84A" w14:textId="77777777" w:rsidR="000477DA" w:rsidRDefault="000E2D23">
      <w:pPr>
        <w:spacing w:after="20"/>
        <w:jc w:val="center"/>
      </w:pPr>
      <w:r>
        <w:rPr>
          <w:rFonts w:ascii="Cambria" w:hAnsi="Cambria"/>
          <w:b/>
          <w:color w:val="000000"/>
          <w:sz w:val="24"/>
        </w:rPr>
        <w:t>FIG. 1: DISTRIBUTED CYBER-PHYSICAL SYSTEM ARCHITECTURE FLOW</w:t>
      </w:r>
    </w:p>
    <w:p w14:paraId="357DFF64" w14:textId="77777777" w:rsidR="000477DA" w:rsidRDefault="000E2D23">
      <w:pPr>
        <w:spacing w:after="60"/>
        <w:jc w:val="center"/>
      </w:pPr>
      <w:r>
        <w:rPr>
          <w:rFonts w:ascii="Cambria" w:hAnsi="Cambria"/>
          <w:i/>
          <w:color w:val="000000"/>
          <w:sz w:val="16"/>
        </w:rPr>
        <w:t>Technical Field: Distributed multi-tier cloud computing architecture integrating non-contact volumetric vision, dynamic perishability kinetics, combinatorial logistics, and cryptographic environmental ledgers.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477DA" w14:paraId="5BDF3B65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3DBB775F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1. Problem Definition &amp; Objective Setting</w:t>
            </w:r>
          </w:p>
        </w:tc>
      </w:tr>
      <w:tr w:rsidR="000477DA" w14:paraId="14C9AC94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1DF68143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2D8A700F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17EE56F3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2. Non-Contact Image Capture &amp; GPS Geocoding</w:t>
            </w:r>
          </w:p>
        </w:tc>
      </w:tr>
      <w:tr w:rsidR="000477DA" w14:paraId="33BD2CC8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2F9C9BD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6E17DB42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7B6BB551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3. Calibrated Container Geometry &amp; Fluid Volume Calculation</w:t>
            </w:r>
          </w:p>
        </w:tc>
      </w:tr>
      <w:tr w:rsidR="000477DA" w14:paraId="4B24F7C4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443767A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53C89E4F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6442050D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4. 12-Category Food Bulk Density Physics Transformation</w:t>
            </w:r>
          </w:p>
        </w:tc>
      </w:tr>
      <w:tr w:rsidR="000477DA" w14:paraId="67DBB5D7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26E2DB1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7ACA4AF2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72DBF170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5. Dynamic Shelf-Life Decay &amp; Microbiological Urgency Modeling</w:t>
            </w:r>
          </w:p>
        </w:tc>
      </w:tr>
      <w:tr w:rsidR="000477DA" w14:paraId="4511CCCC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DAA3075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06B1010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56EA9536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6. Spatial Clustering &amp; Proactive Shelter Deficit Forecasting</w:t>
            </w:r>
          </w:p>
        </w:tc>
      </w:tr>
      <w:tr w:rsidR="000477DA" w14:paraId="7C042F3C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653E851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3AE9C399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479504E6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7. Perishability-Constrained Capacitated Vehicle Routing (CVRP)</w:t>
            </w:r>
          </w:p>
        </w:tc>
      </w:tr>
      <w:tr w:rsidR="000477DA" w14:paraId="16DD2CCD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5018878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7FA5E84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3E0C79B5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8. Physical Handover via Single-Use Cryptographic QR Token</w:t>
            </w:r>
          </w:p>
        </w:tc>
      </w:tr>
      <w:tr w:rsidR="000477DA" w14:paraId="5C905B8D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1ACD99C2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28916994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29151348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9. Zero-Trust Verification &amp; Secure State Transition</w:t>
            </w:r>
          </w:p>
        </w:tc>
      </w:tr>
      <w:tr w:rsidR="000477DA" w14:paraId="344D76DB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6D8C23F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93F0B2F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1AD57039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10. IPCC AR6 Multi-Gas Impact &amp; Methane GWP 28× Calculation</w:t>
            </w:r>
          </w:p>
        </w:tc>
      </w:tr>
      <w:tr w:rsidR="000477DA" w14:paraId="62995676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29CC0B2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490F3FDF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2F96D8FD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11. Immutable SHA-256 Ledger Commitment &amp; Certificate Issuance</w:t>
            </w:r>
          </w:p>
        </w:tc>
      </w:tr>
    </w:tbl>
    <w:p w14:paraId="69121F4F" w14:textId="77777777" w:rsidR="000477DA" w:rsidRDefault="000E2D23">
      <w:pPr>
        <w:spacing w:before="60" w:after="0" w:line="252" w:lineRule="auto"/>
        <w:jc w:val="both"/>
      </w:pPr>
      <w:r>
        <w:rPr>
          <w:rFonts w:ascii="Cambria" w:hAnsi="Cambria"/>
          <w:b/>
          <w:color w:val="000000"/>
          <w:sz w:val="16"/>
        </w:rPr>
        <w:t xml:space="preserve">Technical Description of FIG. 1: </w:t>
      </w:r>
      <w:r>
        <w:rPr>
          <w:rFonts w:ascii="Cambria" w:hAnsi="Cambria"/>
          <w:color w:val="000000"/>
          <w:sz w:val="16"/>
        </w:rPr>
        <w:t>FIG. 1 depicts the end-to-end cyber-physical architecture flow, orchestrating client image capture, container volume calibration, food density physics, microbiological shelf-life modeling, CVRP vehicle routing, and cryptographic SHA-256 environmental ledger accounting into a unified automated redistribution pipeline.</w:t>
      </w:r>
    </w:p>
    <w:p w14:paraId="7747F69B" w14:textId="77777777" w:rsidR="000477DA" w:rsidRDefault="000E2D23">
      <w:r>
        <w:br w:type="page"/>
      </w:r>
    </w:p>
    <w:p w14:paraId="1ECCA181" w14:textId="77777777" w:rsidR="000477DA" w:rsidRDefault="000E2D23">
      <w:pPr>
        <w:spacing w:after="20"/>
        <w:jc w:val="right"/>
      </w:pPr>
      <w:r>
        <w:rPr>
          <w:rFonts w:ascii="Cambria" w:hAnsi="Cambria"/>
          <w:b/>
          <w:color w:val="000000"/>
          <w:sz w:val="18"/>
        </w:rPr>
        <w:lastRenderedPageBreak/>
        <w:t>SHEET 2 OF 6</w:t>
      </w:r>
    </w:p>
    <w:p w14:paraId="2B5C9BD2" w14:textId="77777777" w:rsidR="000477DA" w:rsidRDefault="000E2D23">
      <w:pPr>
        <w:spacing w:after="20"/>
        <w:jc w:val="center"/>
      </w:pPr>
      <w:r>
        <w:rPr>
          <w:rFonts w:ascii="Cambria" w:hAnsi="Cambria"/>
          <w:b/>
          <w:color w:val="000000"/>
          <w:sz w:val="24"/>
        </w:rPr>
        <w:t>FIG. 2: NON-CONTACT VOLUMETRIC FOOD MASS ESTIMATION &amp; ERROR-BOUNDING</w:t>
      </w:r>
    </w:p>
    <w:p w14:paraId="1AD2857B" w14:textId="77777777" w:rsidR="000477DA" w:rsidRDefault="000E2D23">
      <w:pPr>
        <w:spacing w:after="60"/>
        <w:jc w:val="center"/>
      </w:pPr>
      <w:r>
        <w:rPr>
          <w:rFonts w:ascii="Cambria" w:hAnsi="Cambria"/>
          <w:i/>
          <w:color w:val="000000"/>
          <w:sz w:val="16"/>
        </w:rPr>
        <w:t>Technical Field: Computer vision, container geometry modeling, bulk density physics tensors, and closed-loop statistical uncertainty bounding.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477DA" w14:paraId="4F4ACB21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19579062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1. Ingestion of Multi-View Images &amp; Container Metadata</w:t>
            </w:r>
          </w:p>
        </w:tc>
      </w:tr>
      <w:tr w:rsidR="000477DA" w14:paraId="03E7B27C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035F8E6E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68B9B7A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6AB6EC14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2. Calibrated Receptacle Reference Volume Matrix Lookup</w:t>
            </w:r>
          </w:p>
        </w:tc>
      </w:tr>
      <w:tr w:rsidR="000477DA" w14:paraId="6A07B6C7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4D8537D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D8E691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44FBDE5D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3. Surface Fill Percentage Detection &amp; Fluid Volume Calculation</w:t>
            </w:r>
          </w:p>
        </w:tc>
      </w:tr>
      <w:tr w:rsidR="000477DA" w14:paraId="11855504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B630A0D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3DD9F39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431B2816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4. 12-Category Bulk Density Tensor Mapping (kg/Liter)</w:t>
            </w:r>
          </w:p>
        </w:tc>
      </w:tr>
      <w:tr w:rsidR="000477DA" w14:paraId="6380A16E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68320F44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9DBDFA4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58BDF138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5. Midpoint Physical Mass &amp; Portion Count Determination</w:t>
            </w:r>
          </w:p>
        </w:tc>
      </w:tr>
      <w:tr w:rsidR="000477DA" w14:paraId="7490B3ED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31F5870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126AC4E2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6E5372DF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6. Perspective Assessment (Orthogonal Dual-View vs. Monocular)</w:t>
            </w:r>
          </w:p>
        </w:tc>
      </w:tr>
      <w:tr w:rsidR="000477DA" w14:paraId="6A3543C3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50FCCE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6E0A6B5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18757B5D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7. Dynamic Statistical Uncertainty Bounding (±8% vs. ±12%)</w:t>
            </w:r>
          </w:p>
        </w:tc>
      </w:tr>
      <w:tr w:rsidR="000477DA" w14:paraId="57CC2BED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0C59AB1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6A7AAAE6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4EBE02B5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8. Standard Receptacle Repeatability Confidence Boost (+5%)</w:t>
            </w:r>
          </w:p>
        </w:tc>
      </w:tr>
      <w:tr w:rsidR="000477DA" w14:paraId="0542CBE8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EFB2EE4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6AE45EDB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6E95261F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9. Synthesis of Bounded Mass Tuple [Min Mass, Max Mass]</w:t>
            </w:r>
          </w:p>
        </w:tc>
      </w:tr>
      <w:tr w:rsidR="000477DA" w14:paraId="6F975073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617F177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712A836A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1AF62D09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10. Real-World Verified Physical Weight Check-in at Shelter Scale</w:t>
            </w:r>
          </w:p>
        </w:tc>
      </w:tr>
      <w:tr w:rsidR="000477DA" w14:paraId="36A93FB1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07006ED9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2F9B3289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15FD405F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11. Closed-Loop Continuous MAPE Model Recalibration</w:t>
            </w:r>
          </w:p>
        </w:tc>
      </w:tr>
    </w:tbl>
    <w:p w14:paraId="6FEE8A2F" w14:textId="77777777" w:rsidR="000477DA" w:rsidRDefault="000E2D23">
      <w:pPr>
        <w:spacing w:before="60" w:after="0" w:line="252" w:lineRule="auto"/>
        <w:jc w:val="both"/>
      </w:pPr>
      <w:r>
        <w:rPr>
          <w:rFonts w:ascii="Cambria" w:hAnsi="Cambria"/>
          <w:b/>
          <w:color w:val="000000"/>
          <w:sz w:val="16"/>
        </w:rPr>
        <w:t xml:space="preserve">Technical Description of FIG. 2: </w:t>
      </w:r>
      <w:r>
        <w:rPr>
          <w:rFonts w:ascii="Cambria" w:hAnsi="Cambria"/>
          <w:color w:val="000000"/>
          <w:sz w:val="16"/>
        </w:rPr>
        <w:t>FIG. 2 illustrates the volumetric mass estimation method. Grounding visual fill percentages in standardized catering receptacle geometry and category bulk density eliminates monocular scale ambiguity. Dual-perspective capture bounds uncertainty to ±8%, while closed-loop MAPE feedback dynamically recalibrates historical model accuracy.</w:t>
      </w:r>
    </w:p>
    <w:p w14:paraId="2D3813CD" w14:textId="77777777" w:rsidR="000477DA" w:rsidRDefault="000E2D23">
      <w:r>
        <w:br w:type="page"/>
      </w:r>
    </w:p>
    <w:p w14:paraId="5B5C7A82" w14:textId="77777777" w:rsidR="000477DA" w:rsidRDefault="000E2D23">
      <w:pPr>
        <w:spacing w:after="20"/>
        <w:jc w:val="right"/>
      </w:pPr>
      <w:r>
        <w:rPr>
          <w:rFonts w:ascii="Cambria" w:hAnsi="Cambria"/>
          <w:b/>
          <w:color w:val="000000"/>
          <w:sz w:val="18"/>
        </w:rPr>
        <w:lastRenderedPageBreak/>
        <w:t>SHEET 3 OF 6</w:t>
      </w:r>
    </w:p>
    <w:p w14:paraId="05D4C1AB" w14:textId="77777777" w:rsidR="000477DA" w:rsidRDefault="000E2D23">
      <w:pPr>
        <w:spacing w:after="20"/>
        <w:jc w:val="center"/>
      </w:pPr>
      <w:r>
        <w:rPr>
          <w:rFonts w:ascii="Cambria" w:hAnsi="Cambria"/>
          <w:b/>
          <w:color w:val="000000"/>
          <w:sz w:val="24"/>
        </w:rPr>
        <w:t>FIG. 3: TRI-FACTOR MICROBIOLOGICAL DECAY &amp; PRIORITY URGENCY SCORING</w:t>
      </w:r>
    </w:p>
    <w:p w14:paraId="4E167AF0" w14:textId="77777777" w:rsidR="000477DA" w:rsidRDefault="000E2D23">
      <w:pPr>
        <w:spacing w:after="60"/>
        <w:jc w:val="center"/>
      </w:pPr>
      <w:r>
        <w:rPr>
          <w:rFonts w:ascii="Cambria" w:hAnsi="Cambria"/>
          <w:i/>
          <w:color w:val="000000"/>
          <w:sz w:val="16"/>
        </w:rPr>
        <w:t>Technical Field: Food microbiology kinetics, room-temperature shelf-life curves, and multi-objective priority optimization.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477DA" w14:paraId="27AFFEEB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4F771D68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1. Donation Preparation Timestamp &amp; Category Registration</w:t>
            </w:r>
          </w:p>
        </w:tc>
      </w:tr>
      <w:tr w:rsidR="000477DA" w14:paraId="3247E388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5D33292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4C2CEC80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0AF09FBE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2. Category-Specific Room-Temperature Shelf-Life Matrix Query</w:t>
            </w:r>
          </w:p>
        </w:tc>
      </w:tr>
      <w:tr w:rsidR="000477DA" w14:paraId="476D8CBF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279D858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C418F50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50BD6110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3. Remaining Safe Distribution Time Calculation (t_rem)</w:t>
            </w:r>
          </w:p>
        </w:tc>
      </w:tr>
      <w:tr w:rsidR="000477DA" w14:paraId="545CB5C5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4A23A423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7DC3BEEA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03B6255B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4. Mass Impact Normalization Vector Computation (S_qty)</w:t>
            </w:r>
          </w:p>
        </w:tc>
      </w:tr>
      <w:tr w:rsidR="000477DA" w14:paraId="2171CB17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9801350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1417FF01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258901D5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5. Biochemical Freshness Urgency Vector Computation (S_fresh)</w:t>
            </w:r>
          </w:p>
        </w:tc>
      </w:tr>
      <w:tr w:rsidR="000477DA" w14:paraId="188C5A3C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79E8CC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35843ED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5B6E6778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6. Elapsed Preparation Time Decay Vector Computation (S_time)</w:t>
            </w:r>
          </w:p>
        </w:tc>
      </w:tr>
      <w:tr w:rsidR="000477DA" w14:paraId="30476753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D6C56B7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2967E792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3E53A183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7. Tri-Factor Weighted Composite Priority Optimization</w:t>
            </w:r>
          </w:p>
        </w:tc>
      </w:tr>
      <w:tr w:rsidR="000477DA" w14:paraId="2F0EBFD8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122BA2B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48D187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63E28820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8. Spoilage Threshold Verification (t_rem &gt; 0)</w:t>
            </w:r>
          </w:p>
        </w:tc>
      </w:tr>
      <w:tr w:rsidR="000477DA" w14:paraId="3CBCC83C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3F0ECE4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78A2D917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315A84BB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9. Emergency Dispatch Alert Broadcast to Ranked Nearby NGOs</w:t>
            </w:r>
          </w:p>
        </w:tc>
      </w:tr>
      <w:tr w:rsidR="000477DA" w14:paraId="38475FA6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1A6F3B6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511A026F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252D2CBD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10. Bio-Hazard Diversion to Composting for Expired Batches</w:t>
            </w:r>
          </w:p>
        </w:tc>
      </w:tr>
      <w:tr w:rsidR="000477DA" w14:paraId="370AB8EB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6DDC49DE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5D25F9F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3164DF2C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11. Persistence of Priority Urgency Record in Database Registry</w:t>
            </w:r>
          </w:p>
        </w:tc>
      </w:tr>
    </w:tbl>
    <w:p w14:paraId="72AB18EC" w14:textId="77777777" w:rsidR="000477DA" w:rsidRDefault="000E2D23">
      <w:pPr>
        <w:spacing w:before="60" w:after="0" w:line="252" w:lineRule="auto"/>
        <w:jc w:val="both"/>
      </w:pPr>
      <w:r>
        <w:rPr>
          <w:rFonts w:ascii="Cambria" w:hAnsi="Cambria"/>
          <w:b/>
          <w:color w:val="000000"/>
          <w:sz w:val="16"/>
        </w:rPr>
        <w:t xml:space="preserve">Technical Description of FIG. 3: </w:t>
      </w:r>
      <w:r>
        <w:rPr>
          <w:rFonts w:ascii="Cambria" w:hAnsi="Cambria"/>
          <w:color w:val="000000"/>
          <w:sz w:val="16"/>
        </w:rPr>
        <w:t>FIG. 3 details the microbiological decay logic. The priority engine couples category bacterial growth kinetics with batch mass and chronological transit deadlines, preventing the redistribution of spoiled food while guaranteeing that high-volume perishable batches are matched to nearby NGOs within minimum latency windows.</w:t>
      </w:r>
    </w:p>
    <w:p w14:paraId="28E7FE7C" w14:textId="77777777" w:rsidR="000477DA" w:rsidRDefault="000E2D23">
      <w:r>
        <w:br w:type="page"/>
      </w:r>
    </w:p>
    <w:p w14:paraId="671AB27C" w14:textId="77777777" w:rsidR="000477DA" w:rsidRDefault="000E2D23">
      <w:pPr>
        <w:spacing w:after="20"/>
        <w:jc w:val="right"/>
      </w:pPr>
      <w:r>
        <w:rPr>
          <w:rFonts w:ascii="Cambria" w:hAnsi="Cambria"/>
          <w:b/>
          <w:color w:val="000000"/>
          <w:sz w:val="18"/>
        </w:rPr>
        <w:lastRenderedPageBreak/>
        <w:t>SHEET 4 OF 6</w:t>
      </w:r>
    </w:p>
    <w:p w14:paraId="063E3E47" w14:textId="77777777" w:rsidR="000477DA" w:rsidRDefault="000E2D23">
      <w:pPr>
        <w:spacing w:after="20"/>
        <w:jc w:val="center"/>
      </w:pPr>
      <w:r>
        <w:rPr>
          <w:rFonts w:ascii="Cambria" w:hAnsi="Cambria"/>
          <w:b/>
          <w:color w:val="000000"/>
          <w:sz w:val="24"/>
        </w:rPr>
        <w:t>FIG. 4: PERISHABILITY-CONSTRAINED MULTI-STOP CVRP LOGISTICS ROUTING</w:t>
      </w:r>
    </w:p>
    <w:p w14:paraId="1CE7ED9B" w14:textId="77777777" w:rsidR="000477DA" w:rsidRDefault="000E2D23">
      <w:pPr>
        <w:spacing w:after="60"/>
        <w:jc w:val="center"/>
      </w:pPr>
      <w:r>
        <w:rPr>
          <w:rFonts w:ascii="Cambria" w:hAnsi="Cambria"/>
          <w:i/>
          <w:color w:val="000000"/>
          <w:sz w:val="16"/>
        </w:rPr>
        <w:t>Technical Field: Operations research, Capacitated Vehicle Routing Problem (CVRP), payload capacity boundaries, and transport emission minimization.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477DA" w14:paraId="0DAE6538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93158D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1. Multi-Stop Dispatch Request &amp; Volunteer Location Ingestion</w:t>
            </w:r>
          </w:p>
        </w:tc>
      </w:tr>
      <w:tr w:rsidR="000477DA" w14:paraId="6BBE1D78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66DC226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22C7359A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7D738F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2. Vehicle Gross Payload Capacity Limit Definition (C_max)</w:t>
            </w:r>
          </w:p>
        </w:tc>
      </w:tr>
      <w:tr w:rsidR="000477DA" w14:paraId="373D6EB6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4F602A23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36CAC0F5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CD0878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3. Candidate Donor Pickup Nodes &amp; Recipient Shelter Set Assembly</w:t>
            </w:r>
          </w:p>
        </w:tc>
      </w:tr>
      <w:tr w:rsidR="000477DA" w14:paraId="489CACE3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1B5936E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72F829A9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A1604C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4. All-Pairs Haversine Geospatial Distance Matrix Computation</w:t>
            </w:r>
          </w:p>
        </w:tc>
      </w:tr>
      <w:tr w:rsidR="000477DA" w14:paraId="3703FF6C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563215F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274D29A0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6A97C5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5. Trajectory Initialization &amp; Cumulative Payload Tracking</w:t>
            </w:r>
          </w:p>
        </w:tc>
      </w:tr>
      <w:tr w:rsidR="000477DA" w14:paraId="53918905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642966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3D2462F3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427237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6. Spatial Nearest-Neighbor Candidate Node Search</w:t>
            </w:r>
          </w:p>
        </w:tc>
      </w:tr>
      <w:tr w:rsidR="000477DA" w14:paraId="47B219CE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7F4DC3E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63C32D1D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94C12A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7. Vehicle Payload Capacity Feasibility Assessment (L + M &lt;= C_max)</w:t>
            </w:r>
          </w:p>
        </w:tc>
      </w:tr>
      <w:tr w:rsidR="000477DA" w14:paraId="0293161F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1A6AEF7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0A09C4C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C45550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8. Mandatory Intermediate Delivery Dropoff upon Capacity Breach</w:t>
            </w:r>
          </w:p>
        </w:tc>
      </w:tr>
      <w:tr w:rsidR="000477DA" w14:paraId="375619BD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3CF6B5A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3C364501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262A6B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9. Topological Precedence Delivery Dropoff Execution</w:t>
            </w:r>
          </w:p>
        </w:tc>
      </w:tr>
      <w:tr w:rsidR="000477DA" w14:paraId="2FCDC464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09021434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4270B9BA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F3FE55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10. Consolidated Route Optimization vs. Radial Baseline Calculation</w:t>
            </w:r>
          </w:p>
        </w:tc>
      </w:tr>
      <w:tr w:rsidR="000477DA" w14:paraId="6E3A8667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991ECE8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62E36769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42FCA7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11. Fuel Savings &amp; Transport CO2e Mitigation Modeling</w:t>
            </w:r>
          </w:p>
        </w:tc>
      </w:tr>
      <w:tr w:rsidR="000477DA" w14:paraId="15CA9862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490311B1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8"/>
              </w:rPr>
              <w:t>↓</w:t>
            </w:r>
          </w:p>
        </w:tc>
      </w:tr>
      <w:tr w:rsidR="000477DA" w14:paraId="1B2EFDBE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449C5B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12. Waypoint Manifest Transmission to Mobile Navigation Client</w:t>
            </w:r>
          </w:p>
        </w:tc>
      </w:tr>
    </w:tbl>
    <w:p w14:paraId="74C91BB7" w14:textId="77777777" w:rsidR="000477DA" w:rsidRDefault="000E2D23">
      <w:pPr>
        <w:spacing w:before="60" w:after="0" w:line="252" w:lineRule="auto"/>
        <w:jc w:val="both"/>
      </w:pPr>
      <w:r>
        <w:rPr>
          <w:rFonts w:ascii="Cambria" w:hAnsi="Cambria"/>
          <w:b/>
          <w:color w:val="000000"/>
          <w:sz w:val="16"/>
        </w:rPr>
        <w:t xml:space="preserve">Technical Description of FIG. 4: </w:t>
      </w:r>
      <w:r>
        <w:rPr>
          <w:rFonts w:ascii="Cambria" w:hAnsi="Cambria"/>
          <w:color w:val="000000"/>
          <w:sz w:val="16"/>
        </w:rPr>
        <w:t>FIG. 4 illustrates the CVRP routing solver. The algorithm resolves multi-stop vehicle trajectories subject to gross payload weight limits and strict chronological pickup-before-delivery dependencies, consolidating disparate donor batches into fuel-minimized routes and quantifying transport emission reductions.</w:t>
      </w:r>
    </w:p>
    <w:p w14:paraId="62393670" w14:textId="77777777" w:rsidR="000477DA" w:rsidRDefault="000E2D23">
      <w:r>
        <w:br w:type="page"/>
      </w:r>
    </w:p>
    <w:p w14:paraId="47EA4360" w14:textId="77777777" w:rsidR="000477DA" w:rsidRDefault="000E2D23">
      <w:pPr>
        <w:spacing w:after="20"/>
        <w:jc w:val="right"/>
      </w:pPr>
      <w:r>
        <w:rPr>
          <w:rFonts w:ascii="Cambria" w:hAnsi="Cambria"/>
          <w:b/>
          <w:color w:val="000000"/>
          <w:sz w:val="18"/>
        </w:rPr>
        <w:lastRenderedPageBreak/>
        <w:t>SHEET 5 OF 6</w:t>
      </w:r>
    </w:p>
    <w:p w14:paraId="012787CE" w14:textId="77777777" w:rsidR="000477DA" w:rsidRDefault="000E2D23">
      <w:pPr>
        <w:spacing w:after="20"/>
        <w:jc w:val="center"/>
      </w:pPr>
      <w:r>
        <w:rPr>
          <w:rFonts w:ascii="Cambria" w:hAnsi="Cambria"/>
          <w:b/>
          <w:color w:val="000000"/>
          <w:sz w:val="24"/>
        </w:rPr>
        <w:t>FIG. 5: PROACTIVE SHELTER DEFICIT &amp; TIME-SERIES DEMAND FORECASTING</w:t>
      </w:r>
    </w:p>
    <w:p w14:paraId="649199B7" w14:textId="77777777" w:rsidR="000477DA" w:rsidRDefault="000E2D23">
      <w:pPr>
        <w:spacing w:after="60"/>
        <w:jc w:val="center"/>
      </w:pPr>
      <w:r>
        <w:rPr>
          <w:rFonts w:ascii="Cambria" w:hAnsi="Cambria"/>
          <w:i/>
          <w:color w:val="000000"/>
          <w:sz w:val="16"/>
        </w:rPr>
        <w:t>Technical Field: Time-series statistical forecasting, recipient inventory telemetry, and proactive commercial surplus solicitation.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477DA" w14:paraId="0EC95167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40C2DDF2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1. 24-Hour Regional Forecast Cycle Initialization</w:t>
            </w:r>
          </w:p>
        </w:tc>
      </w:tr>
      <w:tr w:rsidR="000477DA" w14:paraId="4D6DD492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C4490A4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2AA9151A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0980BB96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2. Recipient Shelter Inventory &amp; Bed Capacity Telemetry Ingestion</w:t>
            </w:r>
          </w:p>
        </w:tc>
      </w:tr>
      <w:tr w:rsidR="000477DA" w14:paraId="6925F512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39B5559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2214676D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7037A727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3. Day-of-Week Trend &amp; Local Festival Calendar Multipliers</w:t>
            </w:r>
          </w:p>
        </w:tc>
      </w:tr>
      <w:tr w:rsidR="000477DA" w14:paraId="6F3B4BFC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03D07593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158D9C1B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50DEFC9B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4. Time-Series Meal Deficit Calculation (Cap × 2.20 × Multipliers)</w:t>
            </w:r>
          </w:p>
        </w:tc>
      </w:tr>
      <w:tr w:rsidR="000477DA" w14:paraId="48C3029D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4AA6A75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7638C9AA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7C482177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5. Urban Corridor Geospatial Clustering &amp; High-Demand Zone Demarcation</w:t>
            </w:r>
          </w:p>
        </w:tc>
      </w:tr>
      <w:tr w:rsidR="000477DA" w14:paraId="617613A2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B9D6D46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5C224050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09DC1BC6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6. Deficit Urgency Classification &amp; Peak Hunger Window Demarcation</w:t>
            </w:r>
          </w:p>
        </w:tc>
      </w:tr>
      <w:tr w:rsidR="000477DA" w14:paraId="0442A067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90A1E8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A111AC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0B104419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7. Commercial Banquet &amp; Institutional Kitchen Surplus Aggregation</w:t>
            </w:r>
          </w:p>
        </w:tc>
      </w:tr>
      <w:tr w:rsidR="000477DA" w14:paraId="55457551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4D3DC1ED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2F943D83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64B2848F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8. Deficit Coverage Percentage Evaluation (Surplus / Deficit × 100)</w:t>
            </w:r>
          </w:p>
        </w:tc>
      </w:tr>
      <w:tr w:rsidR="000477DA" w14:paraId="176523F7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6508A314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031ABE1A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1E216B36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9. Automated Proactive Dispatch Solicitations (6-Hour Notice)</w:t>
            </w:r>
          </w:p>
        </w:tc>
      </w:tr>
      <w:tr w:rsidR="000477DA" w14:paraId="58B04287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3FBA9DD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5FBBEC1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7CF50B35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10. Forward-Looking Surplus Matching to Deficit Corridors</w:t>
            </w:r>
          </w:p>
        </w:tc>
      </w:tr>
      <w:tr w:rsidR="000477DA" w14:paraId="75449BF2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475DD1C0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30"/>
              </w:rPr>
              <w:t>↓</w:t>
            </w:r>
          </w:p>
        </w:tc>
      </w:tr>
      <w:tr w:rsidR="000477DA" w14:paraId="2A7E3618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95" w:type="dxa"/>
              <w:left w:w="180" w:type="dxa"/>
              <w:bottom w:w="95" w:type="dxa"/>
              <w:right w:w="180" w:type="dxa"/>
            </w:tcMar>
          </w:tcPr>
          <w:p w14:paraId="641F9403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1"/>
              </w:rPr>
              <w:t>11. Real-Time Demand Matrix Rendering on Administrative Dashboard</w:t>
            </w:r>
          </w:p>
        </w:tc>
      </w:tr>
    </w:tbl>
    <w:p w14:paraId="46EE0BFD" w14:textId="77777777" w:rsidR="000477DA" w:rsidRDefault="000E2D23">
      <w:pPr>
        <w:spacing w:before="60" w:after="0" w:line="252" w:lineRule="auto"/>
        <w:jc w:val="both"/>
      </w:pPr>
      <w:r>
        <w:rPr>
          <w:rFonts w:ascii="Cambria" w:hAnsi="Cambria"/>
          <w:b/>
          <w:color w:val="000000"/>
          <w:sz w:val="16"/>
        </w:rPr>
        <w:t xml:space="preserve">Technical Description of FIG. 5: </w:t>
      </w:r>
      <w:r>
        <w:rPr>
          <w:rFonts w:ascii="Cambria" w:hAnsi="Cambria"/>
          <w:color w:val="000000"/>
          <w:sz w:val="16"/>
        </w:rPr>
        <w:t>FIG. 5 demonstrates the proactive demand forecasting architecture. By converting historical day-of-week consumption patterns and shelter storage capacities into forward-looking deficit horizons, the system solicits commercial surplus hours before waste occurs, mitigating supply shortages in critical urban feeding corridors.</w:t>
      </w:r>
    </w:p>
    <w:p w14:paraId="354EB783" w14:textId="77777777" w:rsidR="000477DA" w:rsidRDefault="000E2D23">
      <w:r>
        <w:br w:type="page"/>
      </w:r>
    </w:p>
    <w:p w14:paraId="27E2E4D3" w14:textId="77777777" w:rsidR="000477DA" w:rsidRDefault="000E2D23">
      <w:pPr>
        <w:spacing w:after="20"/>
        <w:jc w:val="right"/>
      </w:pPr>
      <w:r>
        <w:rPr>
          <w:rFonts w:ascii="Cambria" w:hAnsi="Cambria"/>
          <w:b/>
          <w:color w:val="000000"/>
          <w:sz w:val="18"/>
        </w:rPr>
        <w:lastRenderedPageBreak/>
        <w:t>SHEET 6 OF 6</w:t>
      </w:r>
    </w:p>
    <w:p w14:paraId="46712A06" w14:textId="77777777" w:rsidR="000477DA" w:rsidRDefault="000E2D23">
      <w:pPr>
        <w:spacing w:after="20"/>
        <w:jc w:val="center"/>
      </w:pPr>
      <w:r>
        <w:rPr>
          <w:rFonts w:ascii="Cambria" w:hAnsi="Cambria"/>
          <w:b/>
          <w:color w:val="000000"/>
          <w:sz w:val="24"/>
        </w:rPr>
        <w:t>FIG. 6: ZERO-TRUST CHAIN OF CUSTODY &amp; CRYPTOGRAPHIC SHA-256 AUDIT LEDGER</w:t>
      </w:r>
    </w:p>
    <w:p w14:paraId="7E660AEF" w14:textId="77777777" w:rsidR="000477DA" w:rsidRDefault="000E2D23">
      <w:pPr>
        <w:spacing w:after="60"/>
        <w:jc w:val="center"/>
      </w:pPr>
      <w:r>
        <w:rPr>
          <w:rFonts w:ascii="Cambria" w:hAnsi="Cambria"/>
          <w:i/>
          <w:color w:val="000000"/>
          <w:sz w:val="16"/>
        </w:rPr>
        <w:t>Technical Field: Cryptographic authentication, zero-trust token handshakes, IPCC AR6 multi-gas environmental accounting, and immutable SHA-256 ledgers.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477DA" w14:paraId="40E00CDD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BE5C1A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1. Validated Food Donation Pipeline Assignment</w:t>
            </w:r>
          </w:p>
        </w:tc>
      </w:tr>
      <w:tr w:rsidR="000477DA" w14:paraId="1A967E95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6E5A55B2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2B4F545B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82E9C8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2. Non-Deterministic Single-Use Handover Token Generation (τ)</w:t>
            </w:r>
          </w:p>
        </w:tc>
      </w:tr>
      <w:tr w:rsidR="000477DA" w14:paraId="1E3323DF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1D63F177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67FE6652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F3D9FC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3. High-Density 2D Optical QR Code Rendering &amp; Container Affixation</w:t>
            </w:r>
          </w:p>
        </w:tc>
      </w:tr>
      <w:tr w:rsidR="000477DA" w14:paraId="43A3DB35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25A84676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01CE141E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1D5EE4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4. Volunteer In-Transit Tracking to Destination Shelter Depot</w:t>
            </w:r>
          </w:p>
        </w:tc>
      </w:tr>
      <w:tr w:rsidR="000477DA" w14:paraId="79FED96B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9E67AB8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1825C8C3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E7D010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5. Optical Barcode Scan &amp; Token Data Ingestion at Physical Handover</w:t>
            </w:r>
          </w:p>
        </w:tc>
      </w:tr>
      <w:tr w:rsidR="000477DA" w14:paraId="451DD40E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C93973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1C5480F7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45CEF49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6. Zero-Trust Cryptographic String Comparison (τ_input == τ)</w:t>
            </w:r>
          </w:p>
        </w:tc>
      </w:tr>
      <w:tr w:rsidR="000477DA" w14:paraId="7DD6418B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70E4351B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761FB1C5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9D71B3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7. Security State Lockout upon Handover Token Mismatch</w:t>
            </w:r>
          </w:p>
        </w:tc>
      </w:tr>
      <w:tr w:rsidR="000477DA" w14:paraId="7DE3B622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8F3D94A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5F755705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CF36C8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8. Authorized State Transition to Delivered upon Token Verification</w:t>
            </w:r>
          </w:p>
        </w:tc>
      </w:tr>
      <w:tr w:rsidR="000477DA" w14:paraId="715400C3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339835C8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393A35E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EAE2124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9. IPCC AR6 Multi-Gas Environmental Nexus Accounting</w:t>
            </w:r>
          </w:p>
        </w:tc>
      </w:tr>
      <w:tr w:rsidR="000477DA" w14:paraId="181E0023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09338265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2F977909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F7EEF8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10. Methane Landfill Mitigation (GWP 28×) &amp; Virtual Water Savings</w:t>
            </w:r>
          </w:p>
        </w:tc>
      </w:tr>
      <w:tr w:rsidR="000477DA" w14:paraId="01CCC5D8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610B190C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3AE3EB65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7CE92D6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11. Canonical Ledger Payload Serialization: "EVS-LEDGER-V1|..."</w:t>
            </w:r>
          </w:p>
        </w:tc>
      </w:tr>
      <w:tr w:rsidR="000477DA" w14:paraId="70549707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54CA4F64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5070847C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32D05D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12. 256-Bit SHA-256 Cryptographic Hash Digest Generation</w:t>
            </w:r>
          </w:p>
        </w:tc>
      </w:tr>
      <w:tr w:rsidR="000477DA" w14:paraId="53ED84D4" w14:textId="77777777">
        <w:trPr>
          <w:jc w:val="center"/>
        </w:trPr>
        <w:tc>
          <w:tcPr>
            <w:tcW w:w="10224" w:type="dxa"/>
            <w:shd w:val="clear" w:color="auto" w:fill="FFFFFF"/>
            <w:tcMar>
              <w:top w:w="20" w:type="dxa"/>
              <w:left w:w="180" w:type="dxa"/>
              <w:bottom w:w="20" w:type="dxa"/>
              <w:right w:w="180" w:type="dxa"/>
            </w:tcMar>
          </w:tcPr>
          <w:p w14:paraId="079756E7" w14:textId="77777777" w:rsidR="000477DA" w:rsidRDefault="000E2D23">
            <w:pPr>
              <w:spacing w:after="0" w:line="240" w:lineRule="auto"/>
              <w:jc w:val="center"/>
            </w:pPr>
            <w:r>
              <w:rPr>
                <w:rFonts w:ascii="Cambria" w:hAnsi="Cambria"/>
                <w:b/>
                <w:color w:val="000000"/>
                <w:sz w:val="26"/>
              </w:rPr>
              <w:t>↓</w:t>
            </w:r>
          </w:p>
        </w:tc>
      </w:tr>
      <w:tr w:rsidR="000477DA" w14:paraId="56CA6197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0D9999" w14:textId="77777777" w:rsidR="000477DA" w:rsidRDefault="000E2D23">
            <w:pPr>
              <w:spacing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13. Immutable Ledger Record Persistence &amp; Public Audit API Exposure</w:t>
            </w:r>
          </w:p>
        </w:tc>
      </w:tr>
    </w:tbl>
    <w:p w14:paraId="2D0EC3FC" w14:textId="77777777" w:rsidR="000477DA" w:rsidRDefault="000E2D23">
      <w:pPr>
        <w:spacing w:before="60" w:after="0" w:line="252" w:lineRule="auto"/>
        <w:jc w:val="both"/>
      </w:pPr>
      <w:r>
        <w:rPr>
          <w:rFonts w:ascii="Cambria" w:hAnsi="Cambria"/>
          <w:b/>
          <w:color w:val="000000"/>
          <w:sz w:val="16"/>
        </w:rPr>
        <w:t xml:space="preserve">Technical Description of FIG. 6: </w:t>
      </w:r>
      <w:r>
        <w:rPr>
          <w:rFonts w:ascii="Cambria" w:hAnsi="Cambria"/>
          <w:color w:val="000000"/>
          <w:sz w:val="16"/>
        </w:rPr>
        <w:t>FIG. 6 depicts the cryptographic verification subsystem. Requiring physical scanning of a single-use non-deterministic token establishes a zero-trust custody gate, eliminating phantom deliveries. Committing the multi-gas environmental nexus to a SHA-256 hash digest guarantees data immutability, preventing carbon offset double-counting.</w:t>
      </w:r>
    </w:p>
    <w:sectPr w:rsidR="000477DA" w:rsidSect="00034616">
      <w:headerReference w:type="default" r:id="rId8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D083" w14:textId="77777777" w:rsidR="000E2D23" w:rsidRDefault="000E2D23">
      <w:pPr>
        <w:spacing w:after="0" w:line="240" w:lineRule="auto"/>
      </w:pPr>
      <w:r>
        <w:separator/>
      </w:r>
    </w:p>
  </w:endnote>
  <w:endnote w:type="continuationSeparator" w:id="0">
    <w:p w14:paraId="22B22621" w14:textId="77777777" w:rsidR="000E2D23" w:rsidRDefault="000E2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EDFEA" w14:textId="77777777" w:rsidR="000E2D23" w:rsidRDefault="000E2D23">
      <w:pPr>
        <w:spacing w:after="0" w:line="240" w:lineRule="auto"/>
      </w:pPr>
      <w:r>
        <w:separator/>
      </w:r>
    </w:p>
  </w:footnote>
  <w:footnote w:type="continuationSeparator" w:id="0">
    <w:p w14:paraId="5C987F06" w14:textId="77777777" w:rsidR="000E2D23" w:rsidRDefault="000E2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9DDA" w14:textId="77777777" w:rsidR="000477DA" w:rsidRDefault="000E2D23">
    <w:pPr>
      <w:pStyle w:val="Header"/>
      <w:jc w:val="right"/>
    </w:pPr>
    <w:r>
      <w:rPr>
        <w:rFonts w:ascii="Cambria" w:hAnsi="Cambria"/>
        <w:b/>
        <w:color w:val="000000"/>
        <w:sz w:val="17"/>
      </w:rPr>
      <w:t>PATENT APPLICATION SPECIFICATION DRAWINGS • EDITABLE WORD FORMAT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924340">
    <w:abstractNumId w:val="8"/>
  </w:num>
  <w:num w:numId="2" w16cid:durableId="1317883600">
    <w:abstractNumId w:val="6"/>
  </w:num>
  <w:num w:numId="3" w16cid:durableId="2051108878">
    <w:abstractNumId w:val="5"/>
  </w:num>
  <w:num w:numId="4" w16cid:durableId="53159482">
    <w:abstractNumId w:val="4"/>
  </w:num>
  <w:num w:numId="5" w16cid:durableId="1569802834">
    <w:abstractNumId w:val="7"/>
  </w:num>
  <w:num w:numId="6" w16cid:durableId="909584605">
    <w:abstractNumId w:val="3"/>
  </w:num>
  <w:num w:numId="7" w16cid:durableId="583731402">
    <w:abstractNumId w:val="2"/>
  </w:num>
  <w:num w:numId="8" w16cid:durableId="2091147466">
    <w:abstractNumId w:val="1"/>
  </w:num>
  <w:num w:numId="9" w16cid:durableId="911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DA"/>
    <w:rsid w:val="0006063C"/>
    <w:rsid w:val="000E2D23"/>
    <w:rsid w:val="000F2EDC"/>
    <w:rsid w:val="0015074B"/>
    <w:rsid w:val="0029639D"/>
    <w:rsid w:val="00326F90"/>
    <w:rsid w:val="00AA1D8D"/>
    <w:rsid w:val="00B47730"/>
    <w:rsid w:val="00C624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0321E"/>
  <w14:defaultImageDpi w14:val="300"/>
  <w15:docId w15:val="{FDD66792-F39F-4EAA-A361-899AAD19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1058</Words>
  <Characters>6891</Characters>
  <Application>Microsoft Office Word</Application>
  <DocSecurity>0</DocSecurity>
  <Lines>181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varghese gt</cp:lastModifiedBy>
  <cp:revision>2</cp:revision>
  <dcterms:created xsi:type="dcterms:W3CDTF">2013-12-23T23:15:00Z</dcterms:created>
  <dcterms:modified xsi:type="dcterms:W3CDTF">2026-09-02T12:24:00Z</dcterms:modified>
  <cp:category/>
</cp:coreProperties>
</file>