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2" w:lineRule="auto"/>
        <w:jc w:val="right"/>
      </w:pPr>
      <w:r>
        <w:rPr>
          <w:rFonts w:ascii="Cambria" w:hAnsi="Cambria"/>
          <w:b/>
          <w:i w:val="0"/>
          <w:color w:val="000000"/>
          <w:sz w:val="18"/>
        </w:rPr>
        <w:t>SHEET 1 OF 6</w:t>
      </w:r>
    </w:p>
    <w:p>
      <w:pPr>
        <w:spacing w:before="0" w:after="20" w:line="252" w:lineRule="auto"/>
        <w:jc w:val="left"/>
      </w:pPr>
      <w:r>
        <w:rPr>
          <w:rFonts w:ascii="Cambria" w:hAnsi="Cambria"/>
          <w:b/>
          <w:i w:val="0"/>
          <w:color w:val="000000"/>
          <w:sz w:val="25"/>
        </w:rPr>
        <w:t>FIG. 1: DISTRIBUTED CYBER-PHYSICAL SYSTEM ARCHITECTURE &amp; NETWORK TOPOLOGY</w:t>
      </w:r>
    </w:p>
    <w:p>
      <w:pPr>
        <w:spacing w:before="0" w:after="100" w:line="252" w:lineRule="auto"/>
        <w:jc w:val="left"/>
      </w:pPr>
      <w:r>
        <w:rPr>
          <w:rFonts w:ascii="Cambria" w:hAnsi="Cambria"/>
          <w:b w:val="0"/>
          <w:i/>
          <w:color w:val="000000"/>
          <w:sz w:val="18"/>
        </w:rPr>
        <w:t>Technical Field: Distributed multi-tier cloud computing architecture integrating non-contact volumetric vision, dynamic perishability kinetics, combinatorial logistics, and cryptographic environmental ledgers.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408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DONOR CLIENT TERMINAL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• Optical Camera Subsystem</w:t>
              <w:br/>
              <w:t>• Interactive GPS Geocoding</w:t>
              <w:br/>
              <w:t>• Mobile Client GUI Interface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VOLUNTEER MOBILE TERMINAL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• Real-Time GPS Tracking</w:t>
              <w:br/>
              <w:t>• Optical QR Handover Scanner</w:t>
              <w:br/>
              <w:t>• CVRP Route Navigation Client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NGO SHELTER PORTAL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• Shelter Capacity Telemetry</w:t>
              <w:br/>
              <w:t>• Demand Logger &amp; Check-in Scale</w:t>
              <w:br/>
              <w:t>• Local Redistribution Registry</w:t>
            </w:r>
          </w:p>
        </w:tc>
      </w:tr>
    </w:tbl>
    <w:p>
      <w:pPr>
        <w:spacing w:before="40" w:after="40"/>
        <w:jc w:val="center"/>
      </w:pPr>
      <w:r>
        <w:rPr>
          <w:rFonts w:ascii="Cambria" w:hAnsi="Cambria"/>
          <w:b/>
          <w:color w:val="000000"/>
          <w:sz w:val="17"/>
        </w:rPr>
        <w:t>▼  Encrypted Mutual TLS / HTTPS REST &amp; WebSocket Protocol Bus  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5112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AI VOLUMETRIC ESTIMATION SUBSYSTEM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• Dual-Perspective Vision Module (Top/Lateral)</w:t>
              <w:br/>
              <w:t>• Calibrated Container Geometry Matrix</w:t>
              <w:br/>
              <w:t>• 12-Category Food Density Physics Tensor</w:t>
              <w:br/>
              <w:t>• Closed-Loop Continuous MAPE Engine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TRI-FACTOR DECAY &amp; PRIORITY ENGINE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• Dynamic Shelf-Life Decay Estimator</w:t>
              <w:br/>
              <w:t>• Biological Moisture &amp; Water Activity Curves</w:t>
              <w:br/>
              <w:t>• Weighted Urgency Priority Scoring Function</w:t>
              <w:br/>
              <w:t>• Room-Temperature Threshold Watchdog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LOGISTICAL CVRP DISPATCH SUBSYSTEM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• Proactive Shelter Deficit Forecaster</w:t>
              <w:br/>
              <w:t>• Haversine Spatial Clustered Graph</w:t>
              <w:br/>
              <w:t>• Capacitated Vehicle Routing Solver (CVRP)</w:t>
              <w:br/>
              <w:t>• Transport CO2e &amp; Diesel Minimization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CRYPTOGRAPHIC AUDIT SUBSYSTEM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• IPCC AR6 Multi-Gas Carbon Calculator</w:t>
              <w:br/>
              <w:t>• Landfill Methane Mitigation Engine (GWP 28x)</w:t>
              <w:br/>
              <w:t>• Zero-Trust Single-Use Handover Token Gate</w:t>
              <w:br/>
              <w:t>• Immutable SHA-256 Distributed Ledger</w:t>
            </w:r>
          </w:p>
        </w:tc>
      </w:tr>
    </w:tbl>
    <w:p>
      <w:pPr>
        <w:spacing w:before="40" w:after="40"/>
        <w:jc w:val="center"/>
      </w:pPr>
      <w:r>
        <w:rPr>
          <w:rFonts w:ascii="Cambria" w:hAnsi="Cambria"/>
          <w:b/>
          <w:color w:val="000000"/>
          <w:sz w:val="17"/>
        </w:rPr>
        <w:t>▼  High-Throughput ACID Transaction Layer  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408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RELATIONAL DATA STORE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• User, NGO &amp; Donor Schemas</w:t>
              <w:br/>
              <w:t>• Donation Entity Lifecycle State</w:t>
              <w:br/>
              <w:t>• Historical MAPE Training Baselines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GEOSPATIAL RADAR REGISTRY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• OpenStreetMap Spatial Coordinates</w:t>
              <w:br/>
              <w:t>• Live Donor / Shelter Pin Registry</w:t>
              <w:br/>
              <w:t>• Network Transit Distance Matrices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CRYPTOGRAPHIC AUDIT LOG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• Immutable SHA-256 Ledger Hashes</w:t>
              <w:br/>
              <w:t>• Single-Use Optical Token State</w:t>
              <w:br/>
              <w:t>• Verified CSR Carbon Certificates</w:t>
            </w:r>
          </w:p>
        </w:tc>
      </w:tr>
    </w:tbl>
    <w:p>
      <w:pPr>
        <w:spacing w:before="80" w:after="20" w:line="252" w:lineRule="auto"/>
        <w:jc w:val="left"/>
      </w:pPr>
      <w:r>
        <w:rPr>
          <w:rFonts w:ascii="Cambria" w:hAnsi="Cambria"/>
          <w:b/>
          <w:i w:val="0"/>
          <w:color w:val="000000"/>
          <w:sz w:val="19"/>
        </w:rPr>
        <w:t>Technical Description of FIG. 1:</w:t>
      </w:r>
    </w:p>
    <w:p>
      <w:pPr>
        <w:spacing w:before="0" w:after="40" w:line="252" w:lineRule="auto"/>
        <w:jc w:val="left"/>
      </w:pPr>
      <w:r>
        <w:rPr>
          <w:rFonts w:ascii="Cambria" w:hAnsi="Cambria"/>
          <w:b w:val="0"/>
          <w:i w:val="0"/>
          <w:color w:val="000000"/>
          <w:sz w:val="17"/>
        </w:rPr>
        <w:t>FIG. 1 illustrates the overall cyber-physical system architecture. Client endpoints capture non-contact image data and GPS telemetry, transmitting structured requests across an encrypted TLS protocol bus to the enterprise application server. The application server coordinates volumetric estimation, microbiological shelf-life prioritization, capacitated vehicle routing, and cryptographic ledger hashing, persistently synchronizing transactions across the persistent data layer to automate surplus food redistribution without physical scale hardware.</w:t>
      </w:r>
    </w:p>
    <w:p>
      <w:r>
        <w:br w:type="page"/>
      </w:r>
    </w:p>
    <w:p>
      <w:pPr>
        <w:spacing w:before="0" w:after="20" w:line="252" w:lineRule="auto"/>
        <w:jc w:val="right"/>
      </w:pPr>
      <w:r>
        <w:rPr>
          <w:rFonts w:ascii="Cambria" w:hAnsi="Cambria"/>
          <w:b/>
          <w:i w:val="0"/>
          <w:color w:val="000000"/>
          <w:sz w:val="18"/>
        </w:rPr>
        <w:t>SHEET 2 OF 6</w:t>
      </w:r>
    </w:p>
    <w:p>
      <w:pPr>
        <w:spacing w:before="0" w:after="20" w:line="252" w:lineRule="auto"/>
        <w:jc w:val="left"/>
      </w:pPr>
      <w:r>
        <w:rPr>
          <w:rFonts w:ascii="Cambria" w:hAnsi="Cambria"/>
          <w:b/>
          <w:i w:val="0"/>
          <w:color w:val="000000"/>
          <w:sz w:val="25"/>
        </w:rPr>
        <w:t>FIG. 2: NON-CONTACT VOLUMETRIC FOOD MASS ESTIMATION &amp; ERROR-BOUNDING SUBSYSTEM</w:t>
      </w:r>
    </w:p>
    <w:p>
      <w:pPr>
        <w:spacing w:before="0" w:after="100" w:line="252" w:lineRule="auto"/>
        <w:jc w:val="left"/>
      </w:pPr>
      <w:r>
        <w:rPr>
          <w:rFonts w:ascii="Cambria" w:hAnsi="Cambria"/>
          <w:b w:val="0"/>
          <w:i/>
          <w:color w:val="000000"/>
          <w:sz w:val="18"/>
        </w:rPr>
        <w:t>Technical Field: Computer vision, container geometry modeling, bulk density physics tensors, and closed-loop statistical uncertainty bounding.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START: NON-CONTACT SURPLUS REGISTRATION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Donor triggers non-contact surplus food registration routine on mobile terminal.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INGEST IMAGE DATASET &amp; RECEPTACLE ATTRIBUTES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Receive Top-View Image (I_top), Optional Side-View Image (I_side), Container Receptacle Identifier, and Culinary Category Identifier.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QUERY CALIBRATED RECEPTACLE REFERENCE MATRIX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Retrieve calibrated reference volume: 5L Buffet Chafing Dish (5.0L), 10L Catering Pot (10.0L), 20L Feast Drum (20.0L), 50L Banquet Pot (50.0L), or Custom Volume (V_custom).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CALCULATE EFFECTIVE RECEPTACLE FLUID VOLUME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Execute volumetric transformation: Effective Volume = Calibrated Reference Volume * (Fill Percentage / 100.0).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RETRIEVE 12-CATEGORY BULK DENSITY PHYSICS COEFFICIENT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Map culinary category to bulk density tensor (kg/L): Cooked Rice (0.80), Cooked Curry (0.95), Mixed Biryani (0.85), Vegetables (0.70), Bread/Bakery (0.35), Dairy (1.03), Sweets (0.90).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COMPUTE MIDPOINT PHYSICAL MASS &amp; SERVING EQUIVALENTS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Calculate deterministic midpoint mass = Effective Volume * Category Bulk Density. Calculate serving count = round(Midpoint Mass / Portion Mass), where portion mass is category-specific (100g to 250g).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double" w:sz="10" w:space="0" w:color="000000"/>
              <w:left w:val="double" w:sz="10" w:space="0" w:color="000000"/>
              <w:bottom w:val="double" w:sz="10" w:space="0" w:color="000000"/>
              <w:right w:val="double" w:sz="10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DECISION: EVALUATE IMAGE PERSPECTIVE COUNT (DUAL VS. MONOCULAR)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Assess whether both orthogonal Top-View and Side-View images exist in input payload.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APPLY DYNAMIC STATISTICAL UNCERTAINTY ERROR BOUNDARY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Dual-View Branch: Assign tight uncertainty margin of +/- 8% (Base Confidence: 89%).</w:t>
              <w:br/>
              <w:t>Monocular Top-View Branch: Assign baseline uncertainty margin of +/- 12% (Base Confidence: 82%).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CALCULATE CONTAINER REPEATABILITY BONUS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Standard Calibrated Vessel: Add +5% repeatability confidence bonus.</w:t>
              <w:br/>
              <w:t>Custom Receptacle: Retain baseline confidence score.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SYNTHESIZE BOUNDED MASS &amp; MEAL TUPLE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Generate statistical bound tuple: [Minimum Mass, Maximum Mass] = [Midpoint Mass * (1 - Margin), Midpoint Mass * (1 + Margin)], and bounded serving range [Minimum Servings, Maximum Servings].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CLOSED-LOOP SELF-LEARNING MAPE MODEL RECALIBRATION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Step A: Log verified physical scale weight upon recipient shelter check-in.</w:t>
              <w:br/>
              <w:t>Step B: Continuously compute rolling Mean Absolute Percentage Error: MAPE = (1/N) * SUM( |Estimated Mass - Actual Mass| / Actual Mass ) * 100.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OUTPUT VALIDATED RECORD TO REDISTRIBUTION RADAR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Bind estimated mass tuple, confidence score, and error margin into validated donation record.</w:t>
            </w:r>
          </w:p>
        </w:tc>
      </w:tr>
    </w:tbl>
    <w:p>
      <w:pPr>
        <w:spacing w:before="60" w:after="20" w:line="252" w:lineRule="auto"/>
        <w:jc w:val="left"/>
      </w:pPr>
      <w:r>
        <w:rPr>
          <w:rFonts w:ascii="Cambria" w:hAnsi="Cambria"/>
          <w:b/>
          <w:i w:val="0"/>
          <w:color w:val="000000"/>
          <w:sz w:val="19"/>
        </w:rPr>
        <w:t>Technical Description of FIG. 2:</w:t>
      </w:r>
    </w:p>
    <w:p>
      <w:pPr>
        <w:spacing w:before="0" w:after="40" w:line="252" w:lineRule="auto"/>
        <w:jc w:val="left"/>
      </w:pPr>
      <w:r>
        <w:rPr>
          <w:rFonts w:ascii="Cambria" w:hAnsi="Cambria"/>
          <w:b w:val="0"/>
          <w:i w:val="0"/>
          <w:color w:val="000000"/>
          <w:sz w:val="17"/>
        </w:rPr>
        <w:t>FIG. 2 discloses the non-contact mass estimation process. Grounding visual fill percentages in standardized catering geometry and category-specific density coefficients eliminates scale ambiguity. Dual-perspective capture bounds statistical uncertainty to +/- 8%, while the closed-loop MAPE feedback mechanism dynamically recalibrates historical error rates using verified check-in data.</w:t>
      </w:r>
    </w:p>
    <w:p>
      <w:r>
        <w:br w:type="page"/>
      </w:r>
    </w:p>
    <w:p>
      <w:pPr>
        <w:spacing w:before="0" w:after="20" w:line="252" w:lineRule="auto"/>
        <w:jc w:val="right"/>
      </w:pPr>
      <w:r>
        <w:rPr>
          <w:rFonts w:ascii="Cambria" w:hAnsi="Cambria"/>
          <w:b/>
          <w:i w:val="0"/>
          <w:color w:val="000000"/>
          <w:sz w:val="18"/>
        </w:rPr>
        <w:t>SHEET 3 OF 6</w:t>
      </w:r>
    </w:p>
    <w:p>
      <w:pPr>
        <w:spacing w:before="0" w:after="20" w:line="252" w:lineRule="auto"/>
        <w:jc w:val="left"/>
      </w:pPr>
      <w:r>
        <w:rPr>
          <w:rFonts w:ascii="Cambria" w:hAnsi="Cambria"/>
          <w:b/>
          <w:i w:val="0"/>
          <w:color w:val="000000"/>
          <w:sz w:val="25"/>
        </w:rPr>
        <w:t>FIG. 3: TRI-FACTOR MICROBIOLOGICAL DECAY &amp; PRIORITY URGENCY SCORING SUBSYSTEM</w:t>
      </w:r>
    </w:p>
    <w:p>
      <w:pPr>
        <w:spacing w:before="0" w:after="100" w:line="252" w:lineRule="auto"/>
        <w:jc w:val="left"/>
      </w:pPr>
      <w:r>
        <w:rPr>
          <w:rFonts w:ascii="Cambria" w:hAnsi="Cambria"/>
          <w:b w:val="0"/>
          <w:i/>
          <w:color w:val="000000"/>
          <w:sz w:val="18"/>
        </w:rPr>
        <w:t>Technical Field: Food microbiology kinetics, room-temperature shelf-life curves, and multi-objective priority optimization.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START: DONATION TIMESTAMP VALIDATION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System initializes perishability assessment upon receipt of confirmed food creation record.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INGEST PERISHABLE INPUT PARAMETERS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Extract confirmed food mass (kg), culinary category classification, preparation timestamp, and current system timestamp.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RETRIEVE MICROBIAL SHELF-LIFE MATRIX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Query empirical room-temperature bacterial safety thresholds:</w:t>
              <w:br/>
              <w:t>Cooked Rice (6.0h), Cooked Gravy/Curry (5.0h), Dairy/Milk (4.0h), Mixed Feasts (4.0h), Bakery (24.0h), Produce (48.0h).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COMPUTE REMAINING SAFE DISTRIBUTION TIME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Calculate remaining safe hours = max(0, Category Shelf-Life - (Current Time - Preparation Time) / 60.0). Calculate predicted expiry timestamp = Preparation Time + Category Shelf-Life.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COMPUTE NORMALIZED MULTI-OBJECTIVE SUB-SCORE VECTORS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Calculate sub-scores:</w:t>
              <w:br/>
              <w:t>1. Mass Impact Vector: S_qty = min(100, (Mass / 100.0) * 100)</w:t>
              <w:br/>
              <w:t>2. Freshness Urgency Vector: S_fresh derived from step-function mapping of remaining safe hours</w:t>
              <w:br/>
              <w:t>3. Elapsed Time Vector: S_time derived from elapsed duration since food preparation.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EVALUATE COMPOSITE PRIORITY SCORING EQUATION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Compute scalar priority score P in range [0, 100]:</w:t>
              <w:br/>
              <w:t>Priority Score = clamp(0, 100, [0.30 * S_qty] + [0.50 * S_fresh] + [0.20 * S_time]).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double" w:sz="10" w:space="0" w:color="000000"/>
              <w:left w:val="double" w:sz="10" w:space="0" w:color="000000"/>
              <w:bottom w:val="double" w:sz="10" w:space="0" w:color="000000"/>
              <w:right w:val="double" w:sz="10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DECISION: IS FOOD FRESHNESS REMAINING (SAFE HOURS &gt; 0)?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Verify whether food remains within safe microbiological consumption limits prior to logistical dispatch.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BRANCH: VALIDATED FOR RAPID REDISTRIBUTION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If safe hours &gt; 0: Assign priority classification (Critical: P&gt;=85, High: P&gt;=70, Medium: P&gt;=50). Broadcast real-time dispatch alerts to nearest NGO shelters.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BRANCH: EXPIRED / CRITICAL BIO-HAZARD DETECTED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If safe hours &lt;= 0: Block human consumption redistribution state. Automatically re-route batch to municipal anaerobic biogas or composting stream.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COMMIT PRIORITY METRICS TO RECORD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Persist priority score, safe hours remaining, and expiry timestamp to database registry.</w:t>
            </w:r>
          </w:p>
        </w:tc>
      </w:tr>
    </w:tbl>
    <w:p>
      <w:pPr>
        <w:spacing w:before="60" w:after="20" w:line="252" w:lineRule="auto"/>
        <w:jc w:val="left"/>
      </w:pPr>
      <w:r>
        <w:rPr>
          <w:rFonts w:ascii="Cambria" w:hAnsi="Cambria"/>
          <w:b/>
          <w:i w:val="0"/>
          <w:color w:val="000000"/>
          <w:sz w:val="19"/>
        </w:rPr>
        <w:t>Technical Description of FIG. 3:</w:t>
      </w:r>
    </w:p>
    <w:p>
      <w:pPr>
        <w:spacing w:before="0" w:after="40" w:line="252" w:lineRule="auto"/>
        <w:jc w:val="left"/>
      </w:pPr>
      <w:r>
        <w:rPr>
          <w:rFonts w:ascii="Cambria" w:hAnsi="Cambria"/>
          <w:b w:val="0"/>
          <w:i w:val="0"/>
          <w:color w:val="000000"/>
          <w:sz w:val="17"/>
        </w:rPr>
        <w:t>FIG. 3 details the microbiological decay logic. The priority engine dynamically couples category-specific bacterial growth kinetics with batch mass and chronological transit deadlines, preventing the redistribution of spoiled food while guaranteeing that high-volume perishable batches are matched to nearby NGOs within minimum latency windows.</w:t>
      </w:r>
    </w:p>
    <w:p>
      <w:r>
        <w:br w:type="page"/>
      </w:r>
    </w:p>
    <w:p>
      <w:pPr>
        <w:spacing w:before="0" w:after="20" w:line="252" w:lineRule="auto"/>
        <w:jc w:val="right"/>
      </w:pPr>
      <w:r>
        <w:rPr>
          <w:rFonts w:ascii="Cambria" w:hAnsi="Cambria"/>
          <w:b/>
          <w:i w:val="0"/>
          <w:color w:val="000000"/>
          <w:sz w:val="18"/>
        </w:rPr>
        <w:t>SHEET 4 OF 6</w:t>
      </w:r>
    </w:p>
    <w:p>
      <w:pPr>
        <w:spacing w:before="0" w:after="20" w:line="252" w:lineRule="auto"/>
        <w:jc w:val="left"/>
      </w:pPr>
      <w:r>
        <w:rPr>
          <w:rFonts w:ascii="Cambria" w:hAnsi="Cambria"/>
          <w:b/>
          <w:i w:val="0"/>
          <w:color w:val="000000"/>
          <w:sz w:val="25"/>
        </w:rPr>
        <w:t>FIG. 4: PERISHABILITY-CONSTRAINED MULTI-STOP CVRP LOGISTICS ROUTING SUBSYSTEM</w:t>
      </w:r>
    </w:p>
    <w:p>
      <w:pPr>
        <w:spacing w:before="0" w:after="100" w:line="252" w:lineRule="auto"/>
        <w:jc w:val="left"/>
      </w:pPr>
      <w:r>
        <w:rPr>
          <w:rFonts w:ascii="Cambria" w:hAnsi="Cambria"/>
          <w:b w:val="0"/>
          <w:i/>
          <w:color w:val="000000"/>
          <w:sz w:val="18"/>
        </w:rPr>
        <w:t>Technical Field: Operations research, Capacitated Vehicle Routing Problem (CVRP), payload capacity boundaries, and transport emission minimization.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START: VOLUNTEER MULTI-STOP DISPATCH REQUEST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Volunteer client requests optimal routing for multi-batch collection mission.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INGEST MISSION GEOMETRY &amp; VEHICLE BOUNDARIES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Receive Volunteer Origin Coordinates, Vehicle Payload Capacity Limit (kg), Candidate Pickup Set P, and Candidate Delivery Shelter Set D.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COMPUTE ALL-PAIRS HAVERSINE SPATIAL DISTANCE MATRIX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Calculate spherical distance matrix for all candidate node pairs using Haversine formula based on Earth radius R = 6,371 km.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INITIALIZE VEHICLE TRAJECTORY &amp; PAYLOAD REGISTERS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Set Current Location = Origin, Current Payload = 0 kg, Total Distance = 0 km, Trajectory Array = [Depot Start].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double" w:sz="10" w:space="0" w:color="000000"/>
              <w:left w:val="double" w:sz="10" w:space="0" w:color="000000"/>
              <w:bottom w:val="double" w:sz="10" w:space="0" w:color="000000"/>
              <w:right w:val="double" w:sz="10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DECISION: ARE UNVISITED PICKUP NODES REMAINING?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Check if surplus food donors require collection along the active corridor.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LOCATE NEAREST CANDIDATE PICKUP NODE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Identify unvisited pickup node in candidate set that minimizes spatial distance from current vehicle location.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double" w:sz="10" w:space="0" w:color="000000"/>
              <w:left w:val="double" w:sz="10" w:space="0" w:color="000000"/>
              <w:bottom w:val="double" w:sz="10" w:space="0" w:color="000000"/>
              <w:right w:val="double" w:sz="10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DECISION: DOES PAYLOAD SATISFY CAPACITY (PAYLOAD + MASS &lt;= CAPACITY)?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Verify that adding candidate donor batch does not breach vehicle gross payload limit.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APPEND PICKUP STOP &amp; UPDATE VEHICLE PAYLOAD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Capacity Satisfied: Append pickup node to trajectory. Update current payload. Accumulate optimized distance. Remove node from candidate set.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FORCE INTERMEDIATE DELIVERY DROPOFF IF CAPACITY EXCEEDED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Capacity Exceeded: Trigger mandatory intermediate delivery dropoff to nearest shelter before collecting further surplus.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EXECUTE TOPOLOGICALLY PRECEDENT DELIVERY DROPOFFS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Enforce topological precedence dependency (Donor pickup must precede shelter delivery). Append nearest candidate shelter to trajectory. Decrement vehicle payload. Accumulate optimized distance.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COMPUTE TRANSPORT EMISSION &amp; FUEL SAVINGS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Calculate conserved metrics relative to unoptimized radial transit:</w:t>
              <w:br/>
              <w:t>• Baseline Radial Distance = Optimized Distance * 1.40</w:t>
              <w:br/>
              <w:t>• Distance Saved = Baseline Distance - Optimized Distance</w:t>
              <w:br/>
              <w:t>• Diesel Conserved = Distance Saved * 0.12 L/km</w:t>
              <w:br/>
              <w:t>• Transport CO2e Avoided = Diesel Conserved * 2.31 kg CO2/L.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TRANSMIT ORDERED MULTI-STOP MANIFEST TO CLIENT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Stream structured waypoint array with live turn-by-turn navigation instructions to volunteer terminal.</w:t>
            </w:r>
          </w:p>
        </w:tc>
      </w:tr>
    </w:tbl>
    <w:p>
      <w:pPr>
        <w:spacing w:before="60" w:after="20" w:line="252" w:lineRule="auto"/>
        <w:jc w:val="left"/>
      </w:pPr>
      <w:r>
        <w:rPr>
          <w:rFonts w:ascii="Cambria" w:hAnsi="Cambria"/>
          <w:b/>
          <w:i w:val="0"/>
          <w:color w:val="000000"/>
          <w:sz w:val="19"/>
        </w:rPr>
        <w:t>Technical Description of FIG. 4:</w:t>
      </w:r>
    </w:p>
    <w:p>
      <w:pPr>
        <w:spacing w:before="0" w:after="40" w:line="252" w:lineRule="auto"/>
        <w:jc w:val="left"/>
      </w:pPr>
      <w:r>
        <w:rPr>
          <w:rFonts w:ascii="Cambria" w:hAnsi="Cambria"/>
          <w:b w:val="0"/>
          <w:i w:val="0"/>
          <w:color w:val="000000"/>
          <w:sz w:val="17"/>
        </w:rPr>
        <w:t>FIG. 4 illustrates the CVRP routing solver. The algorithm resolves multi-stop vehicle trajectories subject to gross payload weight limits and strict chronological pickup-before-delivery dependencies. In doing so, it consolidates disparate donor batches into fuel-minimized routes and directly quantifies transport greenhouse gas emission reductions.</w:t>
      </w:r>
    </w:p>
    <w:p>
      <w:r>
        <w:br w:type="page"/>
      </w:r>
    </w:p>
    <w:p>
      <w:pPr>
        <w:spacing w:before="0" w:after="20" w:line="252" w:lineRule="auto"/>
        <w:jc w:val="right"/>
      </w:pPr>
      <w:r>
        <w:rPr>
          <w:rFonts w:ascii="Cambria" w:hAnsi="Cambria"/>
          <w:b/>
          <w:i w:val="0"/>
          <w:color w:val="000000"/>
          <w:sz w:val="18"/>
        </w:rPr>
        <w:t>SHEET 5 OF 6</w:t>
      </w:r>
    </w:p>
    <w:p>
      <w:pPr>
        <w:spacing w:before="0" w:after="20" w:line="252" w:lineRule="auto"/>
        <w:jc w:val="left"/>
      </w:pPr>
      <w:r>
        <w:rPr>
          <w:rFonts w:ascii="Cambria" w:hAnsi="Cambria"/>
          <w:b/>
          <w:i w:val="0"/>
          <w:color w:val="000000"/>
          <w:sz w:val="25"/>
        </w:rPr>
        <w:t>FIG. 5: PROACTIVE SHELTER DEFICIT &amp; TIME-SERIES DEMAND FORECASTING SUBSYSTEM</w:t>
      </w:r>
    </w:p>
    <w:p>
      <w:pPr>
        <w:spacing w:before="0" w:after="100" w:line="252" w:lineRule="auto"/>
        <w:jc w:val="left"/>
      </w:pPr>
      <w:r>
        <w:rPr>
          <w:rFonts w:ascii="Cambria" w:hAnsi="Cambria"/>
          <w:b w:val="0"/>
          <w:i/>
          <w:color w:val="000000"/>
          <w:sz w:val="18"/>
        </w:rPr>
        <w:t>Technical Field: Time-series statistical forecasting, recipient inventory telemetry, and proactive commercial surplus solicitation.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START: 24-HOUR RECURRENT FORECAST CYCLE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Engine triggers automated regional forecasting routine across urban ecosystem.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INGEST RECIPIENT SHELTER INVENTORY &amp; CAPACITY TELEMETRY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Query registered NGO shelter network. Retrieve certified meal capacities, cold-storage availability flags, and on-hand inventory reserves.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APPLY TIME-SERIES MEAL CONSUMPTION HEURISTIC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Apply multi-factor consumption coefficients:</w:t>
              <w:br/>
              <w:t>• Day-of-Week Trend Multiplier</w:t>
              <w:br/>
              <w:t>• Regional Holiday / Festival Calendar Multiplier</w:t>
              <w:br/>
              <w:t>Compute estimated meals needed = round(Capacity * 2.20 * Multipliers).</w:t>
              <w:br/>
              <w:t>Compute physical mass deficit (kg) = Estimated Meals Needed / 6.25 meals/kg.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CLUSTER GEOSPATIAL DEFICIT CORRIDORS &amp; HIGH-DEMAND ZONES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Aggregate shelter requirements into spatial clusters across urban transit corridors.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double" w:sz="10" w:space="0" w:color="000000"/>
              <w:left w:val="double" w:sz="10" w:space="0" w:color="000000"/>
              <w:bottom w:val="double" w:sz="10" w:space="0" w:color="000000"/>
              <w:right w:val="double" w:sz="10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DECISION: CLASSIFY DEFICIT CRITICALITY &amp; PEAK TIMING WINDOWS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Categorize urgency levels:</w:t>
              <w:br/>
              <w:t>• Capacity &gt; 300 kg: CRITICAL (Peak Deficit Window: 12:30 PM - 02:00 PM Lunch Peak)</w:t>
              <w:br/>
              <w:t>• Capacity &gt; 150 kg: HIGH (Peak Deficit Window: 07:00 PM - 08:30 PM Dinner Peak)</w:t>
              <w:br/>
              <w:t>• Capacity &lt;= 150 kg: MODERATE (Breakfast Window).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AGGREGATE EXPECTED ACTIVE COMMERCIAL SURPLUS INVENTORY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Query scheduled commercial kitchen buffets, banquet bookings, and institutional canteen schedules. Calculate Deficit Coverage Percentage = (Expected Surplus / Total Deficit) * 100.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GENERATE PROACTIVE INVENTORY DISPATCH &amp; SOLICITATION NOTICES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Synthesize proactive surplus request alerts transmitted to commercial hotels and banquet halls 6 hours prior to predicted peak deficit windows.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OUTPUT FORECAST MATRIX TO ADMINISTRATIVE OBSERVATORY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Render demand predictions, high-risk zones, and proactive dispatch recommendations on central dashboard.</w:t>
            </w:r>
          </w:p>
        </w:tc>
      </w:tr>
    </w:tbl>
    <w:p>
      <w:pPr>
        <w:spacing w:before="60" w:after="20" w:line="252" w:lineRule="auto"/>
        <w:jc w:val="left"/>
      </w:pPr>
      <w:r>
        <w:rPr>
          <w:rFonts w:ascii="Cambria" w:hAnsi="Cambria"/>
          <w:b/>
          <w:i w:val="0"/>
          <w:color w:val="000000"/>
          <w:sz w:val="19"/>
        </w:rPr>
        <w:t>Technical Description of FIG. 5:</w:t>
      </w:r>
    </w:p>
    <w:p>
      <w:pPr>
        <w:spacing w:before="0" w:after="40" w:line="252" w:lineRule="auto"/>
        <w:jc w:val="left"/>
      </w:pPr>
      <w:r>
        <w:rPr>
          <w:rFonts w:ascii="Cambria" w:hAnsi="Cambria"/>
          <w:b w:val="0"/>
          <w:i w:val="0"/>
          <w:color w:val="000000"/>
          <w:sz w:val="17"/>
        </w:rPr>
        <w:t>FIG. 5 demonstrates the proactive demand forecasting architecture. By converting historical day-of-week consumption patterns and shelter storage capacities into forward-looking deficit horizons, the system solicits commercial surplus hours before waste occurs, mitigating supply shortages in critical urban feeding corridors.</w:t>
      </w:r>
    </w:p>
    <w:p>
      <w:r>
        <w:br w:type="page"/>
      </w:r>
    </w:p>
    <w:p>
      <w:pPr>
        <w:spacing w:before="0" w:after="20" w:line="252" w:lineRule="auto"/>
        <w:jc w:val="right"/>
      </w:pPr>
      <w:r>
        <w:rPr>
          <w:rFonts w:ascii="Cambria" w:hAnsi="Cambria"/>
          <w:b/>
          <w:i w:val="0"/>
          <w:color w:val="000000"/>
          <w:sz w:val="18"/>
        </w:rPr>
        <w:t>SHEET 6 OF 6</w:t>
      </w:r>
    </w:p>
    <w:p>
      <w:pPr>
        <w:spacing w:before="0" w:after="20" w:line="252" w:lineRule="auto"/>
        <w:jc w:val="left"/>
      </w:pPr>
      <w:r>
        <w:rPr>
          <w:rFonts w:ascii="Cambria" w:hAnsi="Cambria"/>
          <w:b/>
          <w:i w:val="0"/>
          <w:color w:val="000000"/>
          <w:sz w:val="25"/>
        </w:rPr>
        <w:t>FIG. 6: ZERO-TRUST CHAIN OF CUSTODY &amp; CRYPTOGRAPHIC SHA-256 ENVIRONMENTAL LEDGER</w:t>
      </w:r>
    </w:p>
    <w:p>
      <w:pPr>
        <w:spacing w:before="0" w:after="100" w:line="252" w:lineRule="auto"/>
        <w:jc w:val="left"/>
      </w:pPr>
      <w:r>
        <w:rPr>
          <w:rFonts w:ascii="Cambria" w:hAnsi="Cambria"/>
          <w:b w:val="0"/>
          <w:i/>
          <w:color w:val="000000"/>
          <w:sz w:val="18"/>
        </w:rPr>
        <w:t>Technical Field: Cryptographic authentication, zero-trust token handshakes, IPCC AR6 multi-gas environmental accounting, and immutable SHA-256 ledgers.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START: DONATION VALIDATION CONFIRMATION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Donation entity validated and assigned to logistical transit pipeline.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GENERATE NON-DETERMINISTIC SINGLE-USE HANDOVER TOKEN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Execute cryptographic entropy generation to synthesize unique 8-character single-use token from UUID_v4 entropy source. Token is hashed and registered in database.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RENDER &amp; AFFIX 2D OPTICAL MACHINE-READABLE CODE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Generate high-density 2D optical barcode (QR code) encoding handover token. Affix physical label directly to food container package.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VOLUNTEER ARRIVAL AT PHYSICAL RECIPIENT SHELTER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Volunteer transports sealed container to destination NGO receiving depot.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OPTICAL SCAN &amp; HANDOVER TOKEN INGESTION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Volunteer scans container optical code or enters alphanumeric string via mobile terminal.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double" w:sz="10" w:space="0" w:color="000000"/>
              <w:left w:val="double" w:sz="10" w:space="0" w:color="000000"/>
              <w:bottom w:val="double" w:sz="10" w:space="0" w:color="000000"/>
              <w:right w:val="double" w:sz="10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DECISION: ZERO-TRUST CRYPTOGRAPHIC STRING MATCH?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Evaluate exact string match between captured handover token and secured database token.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EXECUTE ZERO-TRUST VERIFICATION BARRIER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Token Mismatch: Deny status transition. Lock delivery state. Log security exception in audit log.</w:t>
              <w:br/>
              <w:t>Token Match Verified: Authorize state transition to DELIVERED status. Commit immutable delivery timestamp.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COMPUTE IPCC AR6 MULTI-GAS ENVIRONMENTAL NEXUS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Compute audited environmental offsets based on confirmed physical mass:</w:t>
              <w:br/>
              <w:t>1. Avoided CO2e Emissions = Confirmed Mass * 2.50 kg CO2e/kg</w:t>
              <w:br/>
              <w:t>2. Conserved Virtual Water = Confirmed Mass * 1800 Liters/kg</w:t>
              <w:br/>
              <w:t>3. Landfill Methane Mitigation = Confirmed Mass * 0.06 kg CH4/kg * 28 (IPCC AR6 100-yr GWP factor)</w:t>
              <w:br/>
              <w:t>4. Physical Equivalencies: Cars Negated (CO2e*4.1 km), Trees Planted (CO2e/22), Clean Energy (CO2e*12h).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CONSTRUCT CANONICAL LEDGER TRANSACTION STRING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Synthesize unalterable byte array payload:</w:t>
              <w:br/>
              <w:t>Payload = 'EVS-LEDGER-V1|' + Donor_ID + '|' + Cert_Code + '|' + CO2e_Avoided + '|' + Water_Saved + '|' + Timestamp.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GENERATE 256-BIT CRYPTOGRAPHIC MESSAGE DIGEST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Execute FIPS 180-4 Secure Hash Algorithm 256 over canonical byte payload to produce deterministic, collision-resistant 64-character hexadecimal digest.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PERSIST IMMUTABLE LEDGER RECORD &amp; ISSUE CERTIFICATE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Persist cryptographic hash to audit table. Issue verified CSR Environmental Certificate with embedded hash. Expose public REST verification endpoint (/verify-hash/{Hash}). Update Corporate ESG Leaderboard ranking.</w:t>
            </w:r>
          </w:p>
        </w:tc>
      </w:tr>
      <w:tr>
        <w:tc>
          <w:tcPr>
            <w:tcW w:type="dxa" w:w="10224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000000"/>
                <w:sz w:val="17"/>
              </w:rPr>
              <w:t>▼</w:t>
            </w:r>
          </w:p>
        </w:tc>
      </w:tr>
      <w:tr>
        <w:tc>
          <w:tcPr>
            <w:tcW w:type="dxa" w:w="10224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END: TRANSACTION VERIFICATION COMPLETE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000000"/>
                <w:sz w:val="16"/>
              </w:rPr>
              <w:t>Cryptographically sealed environmental offset transaction finalized.</w:t>
            </w:r>
          </w:p>
        </w:tc>
      </w:tr>
    </w:tbl>
    <w:p>
      <w:pPr>
        <w:spacing w:before="60" w:after="20" w:line="252" w:lineRule="auto"/>
        <w:jc w:val="left"/>
      </w:pPr>
      <w:r>
        <w:rPr>
          <w:rFonts w:ascii="Cambria" w:hAnsi="Cambria"/>
          <w:b/>
          <w:i w:val="0"/>
          <w:color w:val="000000"/>
          <w:sz w:val="19"/>
        </w:rPr>
        <w:t>Technical Description of FIG. 6:</w:t>
      </w:r>
    </w:p>
    <w:p>
      <w:pPr>
        <w:spacing w:before="0" w:after="40" w:line="252" w:lineRule="auto"/>
        <w:jc w:val="left"/>
      </w:pPr>
      <w:r>
        <w:rPr>
          <w:rFonts w:ascii="Cambria" w:hAnsi="Cambria"/>
          <w:b w:val="0"/>
          <w:i w:val="0"/>
          <w:color w:val="000000"/>
          <w:sz w:val="17"/>
        </w:rPr>
        <w:t>FIG. 6 depicts the cryptographic verification subsystem. Requiring physical scanning of a single-use non-deterministic token establishes a zero-trust custody gate, eliminating phantom deliveries. Committing the multi-gas environmental nexus to a SHA-256 hash digest guarantees data immutability, preventing carbon offset double-counting and greenwashing.</w:t>
      </w:r>
    </w:p>
    <w:sectPr w:rsidR="00FC693F" w:rsidRPr="0006063C" w:rsidSect="00034616">
      <w:head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mbria" w:hAnsi="Cambria"/>
        <w:b/>
        <w:color w:val="000000"/>
        <w:sz w:val="17"/>
      </w:rPr>
      <w:t>PATENT APPLICATION SPECIFICATION DRAWINGS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