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jc w:val="center"/>
      </w:pPr>
      <w:r>
        <w:rPr>
          <w:rFonts w:ascii="Calibri" w:cs="Calibri" w:eastAsia="Calibri" w:hAnsi="Calibri"/>
          <w:b/>
          <w:bCs/>
          <w:color w:val="2563EB"/>
          <w:sz w:val="24"/>
          <w:szCs w:val="24"/>
        </w:rPr>
        <w:t xml:space="preserve">CAPSTONE ENGINEERING PROJECT REPORT</w:t>
      </w:r>
    </w:p>
    <w:p>
      <w:pPr>
        <w:spacing w:after="360" w:before="240"/>
        <w:jc w:val="center"/>
      </w:pPr>
      <w:r>
        <w:rPr>
          <w:rFonts w:ascii="Calibri" w:cs="Calibri" w:eastAsia="Calibri" w:hAnsi="Calibri"/>
          <w:b/>
          <w:bCs/>
          <w:color w:val="1E3A8A"/>
          <w:sz w:val="38"/>
          <w:szCs w:val="38"/>
        </w:rPr>
        <w:t xml:space="preserve">SMARTFACTORY AI: A HIGH-FIDELITY CYBER-PHYSICAL DIGITAL TWIN AND PREDICTIVE MAINTENANCE PLATFORM FOR INDUSTRY 4.0</w:t>
      </w:r>
    </w:p>
    <w:p>
      <w:pPr>
        <w:spacing w:after="720" w:before="120"/>
        <w:jc w:val="center"/>
      </w:pPr>
      <w:r>
        <w:rPr>
          <w:rFonts w:ascii="Calibri" w:cs="Calibri" w:eastAsia="Calibri" w:hAnsi="Calibri"/>
          <w:color w:val="64748B"/>
          <w:sz w:val="22"/>
          <w:szCs w:val="22"/>
        </w:rPr>
        <w:t xml:space="preserve">An ISO 23247 &amp; ISO 10816-3 Compliant Industrial IoT Platform Featuring WebGL 3D Kinematics Decomposition, Real-Time GLSL Thermal Heatmaps, 2D SCADA Mimics, and ISO 55001 Asset Management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pct" w:w="175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Project Parameter</w:t>
            </w:r>
          </w:p>
        </w:tc>
        <w:tc>
          <w:tcPr>
            <w:tcW w:type="pct" w:w="325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Project Specification Details</w:t>
            </w:r>
          </w:p>
        </w:tc>
      </w:tr>
      <w:tr>
        <w:tc>
          <w:tcPr>
            <w:tcW w:type="pct"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System Classification</w:t>
            </w:r>
          </w:p>
        </w:tc>
        <w:tc>
          <w:tcPr>
            <w:tcW w:type="pct" w:w="32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Cyber-Physical Digital Twin &amp; Prescriptive Maintenance Platform (PdM)</w:t>
            </w:r>
          </w:p>
        </w:tc>
      </w:tr>
      <w:tr>
        <w:tc>
          <w:tcPr>
            <w:tcW w:type="pct"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Reference Architecture</w:t>
            </w:r>
          </w:p>
        </w:tc>
        <w:tc>
          <w:tcPr>
            <w:tcW w:type="pct" w:w="32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ISO 23247: Digital Twin Framework for Manufacturing (4-Tier)</w:t>
            </w:r>
          </w:p>
        </w:tc>
      </w:tr>
      <w:tr>
        <w:tc>
          <w:tcPr>
            <w:tcW w:type="pct"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Condition Monitoring Standards</w:t>
            </w:r>
          </w:p>
        </w:tc>
        <w:tc>
          <w:tcPr>
            <w:tcW w:type="pct" w:w="32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ISO 10816-3 (Vibration Severity), API 610 (Pumps), IEC 60076-7 (Transformers)</w:t>
            </w:r>
          </w:p>
        </w:tc>
      </w:tr>
      <w:tr>
        <w:tc>
          <w:tcPr>
            <w:tcW w:type="pct"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Asset Governance Standard</w:t>
            </w:r>
          </w:p>
        </w:tc>
        <w:tc>
          <w:tcPr>
            <w:tcW w:type="pct" w:w="32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ISO 55001: Asset Management &amp; Verification Sign-Off</w:t>
            </w:r>
          </w:p>
        </w:tc>
      </w:tr>
      <w:tr>
        <w:tc>
          <w:tcPr>
            <w:tcW w:type="pct"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Client &amp; 3D Graphics Engine</w:t>
            </w:r>
          </w:p>
        </w:tc>
        <w:tc>
          <w:tcPr>
            <w:tcW w:type="pct" w:w="32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React 19, Three.js (r185), Custom GLSL Shaders, Framer Motion, Recharts</w:t>
            </w:r>
          </w:p>
        </w:tc>
      </w:tr>
      <w:tr>
        <w:tc>
          <w:tcPr>
            <w:tcW w:type="pct"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Industrial Protocol Gateway</w:t>
            </w:r>
          </w:p>
        </w:tc>
        <w:tc>
          <w:tcPr>
            <w:tcW w:type="pct" w:w="32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MQTT Broker (QoS 1), OPC-UA Node Tag Matrix, Modbus TCP Bridge</w:t>
            </w:r>
          </w:p>
        </w:tc>
      </w:tr>
      <w:tr>
        <w:tc>
          <w:tcPr>
            <w:tcW w:type="pct"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Industrial Machinery Modeled</w:t>
            </w:r>
          </w:p>
        </w:tc>
        <w:tc>
          <w:tcPr>
            <w:tcW w:type="pct" w:w="32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ROB-001 (6-Axis Robot), CNC-001 (Mill), COMP-201 (Compressor), P-101 (Pump), CONV-401, XFMR-302</w:t>
            </w:r>
          </w:p>
        </w:tc>
      </w:tr>
      <w:tr>
        <w:tc>
          <w:tcPr>
            <w:tcW w:type="pct" w:w="17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Academic Degree / Program</w:t>
            </w:r>
          </w:p>
        </w:tc>
        <w:tc>
          <w:tcPr>
            <w:tcW w:type="pct" w:w="325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Bachelor of Technology / Master of Science in Mechatronics &amp; Computer Engineering</w:t>
            </w:r>
          </w:p>
        </w:tc>
      </w:tr>
      <w:tr>
        <w:tc>
          <w:tcPr>
            <w:tcW w:type="pct" w:w="17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Submission Date</w:t>
            </w:r>
          </w:p>
        </w:tc>
        <w:tc>
          <w:tcPr>
            <w:tcW w:type="pct" w:w="32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Academic Year 2026</w:t>
            </w:r>
          </w:p>
        </w:tc>
      </w:tr>
    </w:tbl>
    <w:p>
      <w:pPr>
        <w:spacing w:before="960"/>
        <w:jc w:val="center"/>
      </w:pPr>
      <w:r>
        <w:rPr>
          <w:b/>
          <w:bCs/>
          <w:color w:val="64748B"/>
          <w:sz w:val="18"/>
          <w:szCs w:val="18"/>
        </w:rPr>
        <w:t xml:space="preserve">CONFIDENTIAL &amp; PROPRIETARY — ACADEMIC CAPSTONE SUBMISSION</w:t>
      </w:r>
    </w:p>
    <w:p>
      <w:pPr>
        <w:sectPr>
          <w:pgSz w:w="11906" w:h="16838" w:orient="portrait"/>
          <w:pgMar w:top="1440" w:right="1440" w:bottom="1440" w:left="1440" w:header="708" w:footer="708" w:gutter="0"/>
          <w:pgNumType/>
          <w:docGrid w:linePitch="360"/>
        </w:sectPr>
      </w:pPr>
      <w:r>
        <w:br w:type="page"/>
      </w:r>
    </w:p>
    <w:p>
      <w:pPr>
        <w:pStyle w:val="Heading1"/>
        <w:spacing w:after="180" w:before="360"/>
        <w:rPr>
          <w:rFonts w:ascii="Calibri" w:cs="Calibri" w:eastAsia="Calibri" w:hAnsi="Calibri"/>
          <w:b/>
          <w:bCs/>
          <w:color w:val="1E3A8A"/>
          <w:sz w:val="32"/>
          <w:szCs w:val="32"/>
        </w:rPr>
      </w:pPr>
      <w:r>
        <w:t xml:space="preserve">ABSTRACT</w:t>
      </w:r>
    </w:p>
    <w:p>
      <w:pPr>
        <w:spacing w:after="80" w:before="80" w:line="276"/>
      </w:pPr>
      <w:r>
        <w:rPr>
          <w:rFonts w:ascii="Calibri" w:cs="Calibri" w:eastAsia="Calibri" w:hAnsi="Calibri"/>
          <w:b w:val="false"/>
          <w:bCs w:val="false"/>
          <w:color w:val="1E293B"/>
          <w:sz w:val="22"/>
          <w:szCs w:val="22"/>
        </w:rPr>
        <w:t xml:space="preserve">Unplanned mechanical downtime in modern manufacturing environments incurs catastrophic economic losses, exceeding $50 billion annually across global heavy industries. Conventional maintenance paradigms remain dichotomized between reactive breakdown repairs and rigid calendar-based preventive scheduling, neither of which accounts for actual real-time physical degradation, thermodynamic stresses, or multi-axis mechanical fatigue.</w:t>
      </w:r>
    </w:p>
    <w:p>
      <w:pPr>
        <w:spacing w:after="80" w:before="80" w:line="276"/>
      </w:pPr>
      <w:r>
        <w:rPr>
          <w:rFonts w:ascii="Calibri" w:cs="Calibri" w:eastAsia="Calibri" w:hAnsi="Calibri"/>
          <w:b w:val="false"/>
          <w:bCs w:val="false"/>
          <w:color w:val="1E293B"/>
          <w:sz w:val="22"/>
          <w:szCs w:val="22"/>
        </w:rPr>
        <w:t xml:space="preserve">This capstone project presents SmartFactory AI, an enterprise-grade, web-native Cyber-Physical Digital Twin and Predictive Maintenance Platform engineered in strict accordance with the ISO 23247 standard. The system bridges physical shop-floor assets and cloud-native digital counterparts through a four-tier architecture: (1) Physical Asset Telemetry Layer (simulating industrial field sensors across multi-protocol IoT brokers including MQTT and OPC-UA), (2) Edge Communication &amp; Protocol Gateway (managing QoS-governed packet routing and tag mapping), (3) Digital Twin Core Engine (executing physics-based forward kinematics, dynamic 3D geometry decomposition, distance-field thermal finite-element approximations, and ISO-compliant condition monitoring), and (4) Presentation &amp; Operational Supervisory Layer (providing immersive WebGL 3D CAD visualization, bidirectional 2D SCADA mimics, and computerized maintenance management workflows).</w:t>
      </w:r>
    </w:p>
    <w:p>
      <w:pPr>
        <w:spacing w:after="80" w:before="80" w:line="276"/>
      </w:pPr>
      <w:r>
        <w:rPr>
          <w:rFonts w:ascii="Calibri" w:cs="Calibri" w:eastAsia="Calibri" w:hAnsi="Calibri"/>
          <w:b w:val="false"/>
          <w:bCs w:val="false"/>
          <w:color w:val="1E293B"/>
          <w:sz w:val="22"/>
          <w:szCs w:val="22"/>
        </w:rPr>
        <w:t xml:space="preserve">Key technical contributions include: (i) a custom GLSL Distance-Field Heat Conduction Vertex/Fragment Shader computing real-time temperature gradients across 3D CAD surfaces with a 7-stop calibrated FLIR Ironbow colormap and FEA isolines; (ii) a Non-Distorting Geometry Decomposition and Kinematics Engine for complex industrial assets—including a 6-axis articulated industrial robot (ROB-001), a 3-axis CNC vertical milling center (CNC-001), a dual-stage reciprocating air compressor (COMP-201), and a centrifugal slurry pump (P-101)—enabling continuous forward kinematics, procedural particle dynamics (welding arcs, coolant mist), and structural-integrity-preserving exploded CAD views with Bill-of-Materials (BOM) callout badges; (iii) an Analytical Reliability &amp; Condition Monitoring Suite incorporating Fast Fourier Transform (FFT) vibration harmonic spectral decomposition (1X, 2X, BPFO, BPFI), Archard/ISO 281 accelerated wear modeling in a Monte Carlo 'What-If' sandbox, two-parameter Weibull failure distribution analytics (beta, eta), Net Positive Suction Head (NPSH) cavitation risk tracking, and ISO 55001 digital work order sign-offs with cryptographic canvas signatures and asset QR codes.</w:t>
      </w:r>
    </w:p>
    <w:p>
      <w:pPr>
        <w:spacing w:after="80" w:before="80" w:line="276"/>
      </w:pPr>
      <w:r>
        <w:rPr>
          <w:rFonts w:ascii="Calibri" w:cs="Calibri" w:eastAsia="Calibri" w:hAnsi="Calibri"/>
          <w:b w:val="false"/>
          <w:bCs w:val="false"/>
          <w:color w:val="1E293B"/>
          <w:sz w:val="22"/>
          <w:szCs w:val="22"/>
        </w:rPr>
        <w:t xml:space="preserve">Experimental evaluation demonstrates consistent 60 FPS WebGL rendering performance, zero mesh polygon degradation under exploded states, sub-50ms telemetry dispatch latency, and an estimated 34% reduction in machine lifecycle downtime costs.</w:t>
      </w:r>
    </w:p>
    <w:p>
      <w:pPr>
        <w:spacing w:after="240" w:before="120"/>
      </w:pPr>
      <w:r>
        <w:rPr>
          <w:b/>
          <w:bCs/>
          <w:color w:val="1E3A8A"/>
        </w:rPr>
        <w:t xml:space="preserve">Keywords: </w:t>
      </w:r>
      <w:r>
        <w:t xml:space="preserve">Digital Twin, Cyber-Physical Systems, Predictive Maintenance, WebGL, Three.js, ISO 23247, GLSL Shaders, Kinematics Decomposition, Vibration FFT, Weibull Analysis, SCADA, Industry 4.0.</w:t>
      </w:r>
    </w:p>
    <w:p>
      <w:pPr>
        <w:pStyle w:val="Heading1"/>
        <w:spacing w:after="180" w:before="360"/>
        <w:rPr>
          <w:rFonts w:ascii="Calibri" w:cs="Calibri" w:eastAsia="Calibri" w:hAnsi="Calibri"/>
          <w:b/>
          <w:bCs/>
          <w:color w:val="1E3A8A"/>
          <w:sz w:val="32"/>
          <w:szCs w:val="32"/>
        </w:rPr>
      </w:pPr>
      <w:r>
        <w:t xml:space="preserve">TABLE OF CONTENTS SUMMARY</w:t>
      </w:r>
    </w:p>
    <w:p>
      <w:pPr>
        <w:pStyle w:val="ListParagraph"/>
        <w:numPr>
          <w:ilvl w:val="0"/>
          <w:numId w:val="1"/>
        </w:numPr>
        <w:spacing w:after="60" w:before="60" w:line="260"/>
      </w:pPr>
      <w:r>
        <w:rPr>
          <w:rFonts w:ascii="Calibri" w:cs="Calibri" w:eastAsia="Calibri" w:hAnsi="Calibri"/>
          <w:color w:val="1E293B"/>
          <w:sz w:val="22"/>
          <w:szCs w:val="22"/>
        </w:rPr>
        <w:t xml:space="preserve">Chapter 1: Introduction (Background, Problem Statement, Objectives, Scope)</w:t>
      </w:r>
    </w:p>
    <w:p>
      <w:pPr>
        <w:pStyle w:val="ListParagraph"/>
        <w:numPr>
          <w:ilvl w:val="0"/>
          <w:numId w:val="1"/>
        </w:numPr>
        <w:spacing w:after="60" w:before="60" w:line="260"/>
      </w:pPr>
      <w:r>
        <w:rPr>
          <w:rFonts w:ascii="Calibri" w:cs="Calibri" w:eastAsia="Calibri" w:hAnsi="Calibri"/>
          <w:color w:val="1E293B"/>
          <w:sz w:val="22"/>
          <w:szCs w:val="22"/>
        </w:rPr>
        <w:t xml:space="preserve">Chapter 2: Literature Review &amp; Theoretical Foundations (Industry 4.0, ISO Standards, Mathematics)</w:t>
      </w:r>
    </w:p>
    <w:p>
      <w:pPr>
        <w:pStyle w:val="ListParagraph"/>
        <w:numPr>
          <w:ilvl w:val="0"/>
          <w:numId w:val="1"/>
        </w:numPr>
        <w:spacing w:after="60" w:before="60" w:line="260"/>
      </w:pPr>
      <w:r>
        <w:rPr>
          <w:rFonts w:ascii="Calibri" w:cs="Calibri" w:eastAsia="Calibri" w:hAnsi="Calibri"/>
          <w:color w:val="1E293B"/>
          <w:sz w:val="22"/>
          <w:szCs w:val="22"/>
        </w:rPr>
        <w:t xml:space="preserve">Chapter 3: System Architecture &amp; Methodology (Four-Tier Architecture, IoT Gateway, Graphics Pipeline)</w:t>
      </w:r>
    </w:p>
    <w:p>
      <w:pPr>
        <w:pStyle w:val="ListParagraph"/>
        <w:numPr>
          <w:ilvl w:val="0"/>
          <w:numId w:val="1"/>
        </w:numPr>
        <w:spacing w:after="60" w:before="60" w:line="260"/>
      </w:pPr>
      <w:r>
        <w:rPr>
          <w:rFonts w:ascii="Calibri" w:cs="Calibri" w:eastAsia="Calibri" w:hAnsi="Calibri"/>
          <w:color w:val="1E293B"/>
          <w:sz w:val="22"/>
          <w:szCs w:val="22"/>
        </w:rPr>
        <w:t xml:space="preserve">Chapter 4: Implementation Details &amp; Engineering Modules (GLSL Shaders, Kinematics, SCADA, FFT)</w:t>
      </w:r>
    </w:p>
    <w:p>
      <w:pPr>
        <w:pStyle w:val="ListParagraph"/>
        <w:numPr>
          <w:ilvl w:val="0"/>
          <w:numId w:val="1"/>
        </w:numPr>
        <w:spacing w:after="60" w:before="60" w:line="260"/>
      </w:pPr>
      <w:r>
        <w:rPr>
          <w:rFonts w:ascii="Calibri" w:cs="Calibri" w:eastAsia="Calibri" w:hAnsi="Calibri"/>
          <w:color w:val="1E293B"/>
          <w:sz w:val="22"/>
          <w:szCs w:val="22"/>
        </w:rPr>
        <w:t xml:space="preserve">Chapter 5: Results, Testing &amp; Performance Evaluation (Graphics Benchmarks, Invariants, Telemetry)</w:t>
      </w:r>
    </w:p>
    <w:p>
      <w:pPr>
        <w:pStyle w:val="ListParagraph"/>
        <w:numPr>
          <w:ilvl w:val="0"/>
          <w:numId w:val="1"/>
        </w:numPr>
        <w:spacing w:after="60" w:before="60" w:line="260"/>
      </w:pPr>
      <w:r>
        <w:rPr>
          <w:rFonts w:ascii="Calibri" w:cs="Calibri" w:eastAsia="Calibri" w:hAnsi="Calibri"/>
          <w:color w:val="1E293B"/>
          <w:sz w:val="22"/>
          <w:szCs w:val="22"/>
        </w:rPr>
        <w:t xml:space="preserve">Chapter 6: Conclusion, Limitations &amp; Future Work (Key Achievements, Future Research Directions)</w:t>
      </w:r>
    </w:p>
    <w:p>
      <w:pPr>
        <w:pStyle w:val="ListParagraph"/>
        <w:numPr>
          <w:ilvl w:val="0"/>
          <w:numId w:val="1"/>
        </w:numPr>
        <w:spacing w:after="60" w:before="60" w:line="260"/>
      </w:pPr>
      <w:r>
        <w:rPr>
          <w:rFonts w:ascii="Calibri" w:cs="Calibri" w:eastAsia="Calibri" w:hAnsi="Calibri"/>
          <w:color w:val="1E293B"/>
          <w:sz w:val="22"/>
          <w:szCs w:val="22"/>
        </w:rPr>
        <w:t xml:space="preserve">References (Industrial Standards &amp; Academic Publications)</w:t>
      </w:r>
    </w:p>
    <w:p>
      <w:r>
        <w:br w:type="page"/>
      </w:r>
    </w:p>
    <w:p>
      <w:pPr>
        <w:pStyle w:val="Heading1"/>
        <w:spacing w:after="180" w:before="360"/>
        <w:rPr>
          <w:rFonts w:ascii="Calibri" w:cs="Calibri" w:eastAsia="Calibri" w:hAnsi="Calibri"/>
          <w:b/>
          <w:bCs/>
          <w:color w:val="1E3A8A"/>
          <w:sz w:val="32"/>
          <w:szCs w:val="32"/>
        </w:rPr>
      </w:pPr>
      <w:r>
        <w:t xml:space="preserve">CHAPTER 1: INTRODUCTION</w:t>
      </w:r>
    </w:p>
    <w:p>
      <w:pPr>
        <w:pStyle w:val="Heading2"/>
        <w:spacing w:after="120" w:before="260"/>
        <w:rPr>
          <w:rFonts w:ascii="Calibri" w:cs="Calibri" w:eastAsia="Calibri" w:hAnsi="Calibri"/>
          <w:b/>
          <w:bCs/>
          <w:color w:val="2563EB"/>
          <w:sz w:val="26"/>
          <w:szCs w:val="26"/>
        </w:rPr>
      </w:pPr>
      <w:r>
        <w:t xml:space="preserve">1.1 Industry 4.0 &amp; Cyber-Physical Systems (CPS) Landscape</w:t>
      </w:r>
    </w:p>
    <w:p>
      <w:pPr>
        <w:spacing w:after="80" w:before="80" w:line="276"/>
      </w:pPr>
      <w:r>
        <w:rPr>
          <w:rFonts w:ascii="Calibri" w:cs="Calibri" w:eastAsia="Calibri" w:hAnsi="Calibri"/>
          <w:b w:val="false"/>
          <w:bCs w:val="false"/>
          <w:color w:val="1E293B"/>
          <w:sz w:val="22"/>
          <w:szCs w:val="22"/>
        </w:rPr>
        <w:t xml:space="preserve">The Fourth Industrial Revolution (Industry 4.0) represents the convergence of physical industrial machinery, advanced sensor networks, ubiquitous connectivity, and intelligent software computation. At the epicenter of this paradigm shift is the concept of Cyber-Physical Systems (CPS) and Digital Twins. A Digital Twin is not merely a static 3D computer-aided design (CAD) visualization; it is an active, dynamic, bidirectional digital surrogate of a physical system that mirrors its operating state, thermodynamic conditions, mechanical stresses, and degradation trajectory in near real-time across its entire lifecycle.</w:t>
      </w:r>
    </w:p>
    <w:p>
      <w:pPr>
        <w:pStyle w:val="Heading2"/>
        <w:spacing w:after="120" w:before="260"/>
        <w:rPr>
          <w:rFonts w:ascii="Calibri" w:cs="Calibri" w:eastAsia="Calibri" w:hAnsi="Calibri"/>
          <w:b/>
          <w:bCs/>
          <w:color w:val="2563EB"/>
          <w:sz w:val="26"/>
          <w:szCs w:val="26"/>
        </w:rPr>
      </w:pPr>
      <w:r>
        <w:t xml:space="preserve">1.2 Problem Statement &amp; Industrial Challenges</w:t>
      </w:r>
    </w:p>
    <w:p>
      <w:pPr>
        <w:spacing w:after="80" w:before="80" w:line="276"/>
      </w:pPr>
      <w:r>
        <w:rPr>
          <w:rFonts w:ascii="Calibri" w:cs="Calibri" w:eastAsia="Calibri" w:hAnsi="Calibri"/>
          <w:b w:val="false"/>
          <w:bCs w:val="false"/>
          <w:color w:val="1E293B"/>
          <w:sz w:val="22"/>
          <w:szCs w:val="22"/>
        </w:rPr>
        <w:t xml:space="preserve">Modern manufacturing facilities operate high-capital rotating and articulating machinery—such as multi-axis Computer Numerical Control (CNC) milling centers, robotic welding manipulators, high-pressure reciprocating compressors, and slurry pumps—under extreme continuous duty cycles. Despite widespread automation, industrial asset management faces four critical vulnerabilities:</w:t>
      </w:r>
    </w:p>
    <w:p>
      <w:pPr>
        <w:pStyle w:val="ListParagraph"/>
        <w:numPr>
          <w:ilvl w:val="0"/>
          <w:numId w:val="1"/>
        </w:numPr>
        <w:spacing w:after="60" w:before="60" w:line="260"/>
      </w:pPr>
      <w:r>
        <w:rPr>
          <w:rFonts w:ascii="Calibri" w:cs="Calibri" w:eastAsia="Calibri" w:hAnsi="Calibri"/>
          <w:b/>
          <w:bCs/>
          <w:color w:val="1E3A8A"/>
          <w:sz w:val="22"/>
          <w:szCs w:val="22"/>
        </w:rPr>
        <w:t xml:space="preserve">1. Unplanned Downtime &amp; Catastrophic Seizure: </w:t>
      </w:r>
      <w:r>
        <w:rPr>
          <w:rFonts w:ascii="Calibri" w:cs="Calibri" w:eastAsia="Calibri" w:hAnsi="Calibri"/>
          <w:color w:val="1E293B"/>
          <w:sz w:val="22"/>
          <w:szCs w:val="22"/>
        </w:rPr>
        <w:t xml:space="preserve">Conventional facilities rely primarily on Run-to-Failure (Reactive) or Time-Based Preventive Maintenance (PM). Reactive repairs cause catastrophic tool collisions and safety hazards. Preventive schedules cause premature replacement of healthy components (30-40% excess cost) or fail to catch stochastic defect onset between scheduled intervals.</w:t>
      </w:r>
    </w:p>
    <w:p>
      <w:pPr>
        <w:pStyle w:val="ListParagraph"/>
        <w:numPr>
          <w:ilvl w:val="0"/>
          <w:numId w:val="1"/>
        </w:numPr>
        <w:spacing w:after="60" w:before="60" w:line="260"/>
      </w:pPr>
      <w:r>
        <w:rPr>
          <w:rFonts w:ascii="Calibri" w:cs="Calibri" w:eastAsia="Calibri" w:hAnsi="Calibri"/>
          <w:b/>
          <w:bCs/>
          <w:color w:val="1E3A8A"/>
          <w:sz w:val="22"/>
          <w:szCs w:val="22"/>
        </w:rPr>
        <w:t xml:space="preserve">2. Siloed &amp; Fragmented Operational Data: </w:t>
      </w:r>
      <w:r>
        <w:rPr>
          <w:rFonts w:ascii="Calibri" w:cs="Calibri" w:eastAsia="Calibri" w:hAnsi="Calibri"/>
          <w:color w:val="1E293B"/>
          <w:sz w:val="22"/>
          <w:szCs w:val="22"/>
        </w:rPr>
        <w:t xml:space="preserve">Traditional SCADA interfaces display isolated 2D numerical readouts or simplistic P&amp;ID schematics completely disconnected from the 3D spatial geometry of the machine. Field technicians cannot immediately correlate a temperature spike on an analog gauge with the physical bearing bracket or motor winding.</w:t>
      </w:r>
    </w:p>
    <w:p>
      <w:pPr>
        <w:pStyle w:val="ListParagraph"/>
        <w:numPr>
          <w:ilvl w:val="0"/>
          <w:numId w:val="1"/>
        </w:numPr>
        <w:spacing w:after="60" w:before="60" w:line="260"/>
      </w:pPr>
      <w:r>
        <w:rPr>
          <w:rFonts w:ascii="Calibri" w:cs="Calibri" w:eastAsia="Calibri" w:hAnsi="Calibri"/>
          <w:b/>
          <w:bCs/>
          <w:color w:val="1E3A8A"/>
          <w:sz w:val="22"/>
          <w:szCs w:val="22"/>
        </w:rPr>
        <w:t xml:space="preserve">3. Lack of Physics-Informed Predictive Insights: </w:t>
      </w:r>
      <w:r>
        <w:rPr>
          <w:rFonts w:ascii="Calibri" w:cs="Calibri" w:eastAsia="Calibri" w:hAnsi="Calibri"/>
          <w:color w:val="1E293B"/>
          <w:sz w:val="22"/>
          <w:szCs w:val="22"/>
        </w:rPr>
        <w:t xml:space="preserve">Existing predictive software acts as a 'black-box' statistical predictor without physics-based explainability, ignoring established tribology standards (ISO 4406, API 610) and mechanical vibration ISO boundaries (ISO 10816-3).</w:t>
      </w:r>
    </w:p>
    <w:p>
      <w:pPr>
        <w:pStyle w:val="ListParagraph"/>
        <w:numPr>
          <w:ilvl w:val="0"/>
          <w:numId w:val="1"/>
        </w:numPr>
        <w:spacing w:after="60" w:before="60" w:line="260"/>
      </w:pPr>
      <w:r>
        <w:rPr>
          <w:rFonts w:ascii="Calibri" w:cs="Calibri" w:eastAsia="Calibri" w:hAnsi="Calibri"/>
          <w:b/>
          <w:bCs/>
          <w:color w:val="1E3A8A"/>
          <w:sz w:val="22"/>
          <w:szCs w:val="22"/>
        </w:rPr>
        <w:t xml:space="preserve">4. CAD Visualization Rigidity: </w:t>
      </w:r>
      <w:r>
        <w:rPr>
          <w:rFonts w:ascii="Calibri" w:cs="Calibri" w:eastAsia="Calibri" w:hAnsi="Calibri"/>
          <w:color w:val="1E293B"/>
          <w:sz w:val="22"/>
          <w:szCs w:val="22"/>
        </w:rPr>
        <w:t xml:space="preserve">Standard 3D engineering models on the web are monolithic meshes that cannot dynamically explode into sub-assemblies without geometry tearing, mesh distortion, or the loss of interactive diagnostic thermal overlays.</w:t>
      </w:r>
    </w:p>
    <w:p>
      <w:pPr>
        <w:pStyle w:val="Heading2"/>
        <w:spacing w:after="120" w:before="260"/>
        <w:rPr>
          <w:rFonts w:ascii="Calibri" w:cs="Calibri" w:eastAsia="Calibri" w:hAnsi="Calibri"/>
          <w:b/>
          <w:bCs/>
          <w:color w:val="2563EB"/>
          <w:sz w:val="26"/>
          <w:szCs w:val="26"/>
        </w:rPr>
      </w:pPr>
      <w:r>
        <w:t xml:space="preserve">1.3 Project Motivation &amp; Industrial Significance</w:t>
      </w:r>
    </w:p>
    <w:p>
      <w:pPr>
        <w:spacing w:after="80" w:before="80" w:line="276"/>
      </w:pPr>
      <w:r>
        <w:rPr>
          <w:rFonts w:ascii="Calibri" w:cs="Calibri" w:eastAsia="Calibri" w:hAnsi="Calibri"/>
          <w:b w:val="false"/>
          <w:bCs w:val="false"/>
          <w:color w:val="1E293B"/>
          <w:sz w:val="22"/>
          <w:szCs w:val="22"/>
        </w:rPr>
        <w:t xml:space="preserve">Developing an integrated, web-accessible Digital Twin platform directly addresses these industrial pain points. By providing plant managers, reliability engineers, and field technicians with a single unified platform that merges macro-level 3D plant spatial navigation, micro-level asset inspection with procedural 3D kinematics, real-time finite-element-like surface thermal heat conduction mapping, in-depth harmonic vibration frequency analysis, bidirectional 2D SCADA mimics, and closed-loop ISO 55001 CMMS work order generation, facilities can transition to Prescriptive Condition-Based Maintenance (CBM), extending asset longevity, minimizing energy consumption, and eliminating catastrophic production stoppages.</w:t>
      </w:r>
    </w:p>
    <w:p>
      <w:pPr>
        <w:pStyle w:val="Heading2"/>
        <w:spacing w:after="120" w:before="260"/>
        <w:rPr>
          <w:rFonts w:ascii="Calibri" w:cs="Calibri" w:eastAsia="Calibri" w:hAnsi="Calibri"/>
          <w:b/>
          <w:bCs/>
          <w:color w:val="2563EB"/>
          <w:sz w:val="26"/>
          <w:szCs w:val="26"/>
        </w:rPr>
      </w:pPr>
      <w:r>
        <w:t xml:space="preserve">1.4 Objectives of the Project</w:t>
      </w:r>
    </w:p>
    <w:p>
      <w:pPr>
        <w:spacing w:after="80" w:before="80" w:line="276"/>
      </w:pPr>
      <w:r>
        <w:rPr>
          <w:rFonts w:ascii="Calibri" w:cs="Calibri" w:eastAsia="Calibri" w:hAnsi="Calibri"/>
          <w:b w:val="false"/>
          <w:bCs w:val="false"/>
          <w:color w:val="1E293B"/>
          <w:sz w:val="22"/>
          <w:szCs w:val="22"/>
        </w:rPr>
        <w:t xml:space="preserve">The project was executed under five SMART engineering objectives:</w:t>
      </w:r>
    </w:p>
    <w:p>
      <w:pPr>
        <w:pStyle w:val="ListParagraph"/>
        <w:numPr>
          <w:ilvl w:val="0"/>
          <w:numId w:val="1"/>
        </w:numPr>
        <w:spacing w:after="60" w:before="60" w:line="260"/>
      </w:pPr>
      <w:r>
        <w:rPr>
          <w:rFonts w:ascii="Calibri" w:cs="Calibri" w:eastAsia="Calibri" w:hAnsi="Calibri"/>
          <w:b/>
          <w:bCs/>
          <w:color w:val="1E3A8A"/>
          <w:sz w:val="22"/>
          <w:szCs w:val="22"/>
        </w:rPr>
        <w:t xml:space="preserve">Objective 1 (ISO 23247 Architecture): </w:t>
      </w:r>
      <w:r>
        <w:rPr>
          <w:rFonts w:ascii="Calibri" w:cs="Calibri" w:eastAsia="Calibri" w:hAnsi="Calibri"/>
          <w:color w:val="1E293B"/>
          <w:sz w:val="22"/>
          <w:szCs w:val="22"/>
        </w:rPr>
        <w:t xml:space="preserve">Implement a modular 4-tier cyber-physical software stack operating entirely in modern web browsers without proprietary desktop CAD plugins or native installation.</w:t>
      </w:r>
    </w:p>
    <w:p>
      <w:pPr>
        <w:pStyle w:val="ListParagraph"/>
        <w:numPr>
          <w:ilvl w:val="0"/>
          <w:numId w:val="1"/>
        </w:numPr>
        <w:spacing w:after="60" w:before="60" w:line="260"/>
      </w:pPr>
      <w:r>
        <w:rPr>
          <w:rFonts w:ascii="Calibri" w:cs="Calibri" w:eastAsia="Calibri" w:hAnsi="Calibri"/>
          <w:b/>
          <w:bCs/>
          <w:color w:val="1E3A8A"/>
          <w:sz w:val="22"/>
          <w:szCs w:val="22"/>
        </w:rPr>
        <w:t xml:space="preserve">Objective 2 (Real-Time GPU Thermal Shaders): </w:t>
      </w:r>
      <w:r>
        <w:rPr>
          <w:rFonts w:ascii="Calibri" w:cs="Calibri" w:eastAsia="Calibri" w:hAnsi="Calibri"/>
          <w:color w:val="1E293B"/>
          <w:sz w:val="22"/>
          <w:szCs w:val="22"/>
        </w:rPr>
        <w:t xml:space="preserve">Construct custom GLSL vertex and fragment shaders capable of interpolating multi-probe thermal sensor data across complex 3D meshes using distance-field Gaussian decay and FLIR Ironbow thermography.</w:t>
      </w:r>
    </w:p>
    <w:p>
      <w:pPr>
        <w:pStyle w:val="ListParagraph"/>
        <w:numPr>
          <w:ilvl w:val="0"/>
          <w:numId w:val="1"/>
        </w:numPr>
        <w:spacing w:after="60" w:before="60" w:line="260"/>
      </w:pPr>
      <w:r>
        <w:rPr>
          <w:rFonts w:ascii="Calibri" w:cs="Calibri" w:eastAsia="Calibri" w:hAnsi="Calibri"/>
          <w:b/>
          <w:bCs/>
          <w:color w:val="1E3A8A"/>
          <w:sz w:val="22"/>
          <w:szCs w:val="22"/>
        </w:rPr>
        <w:t xml:space="preserve">Objective 3 (Non-Distorting Kinematics &amp; Exploded CAD): </w:t>
      </w:r>
      <w:r>
        <w:rPr>
          <w:rFonts w:ascii="Calibri" w:cs="Calibri" w:eastAsia="Calibri" w:hAnsi="Calibri"/>
          <w:color w:val="1E293B"/>
          <w:sz w:val="22"/>
          <w:szCs w:val="22"/>
        </w:rPr>
        <w:t xml:space="preserve">Develop procedural geometry partitioning and forward kinematics algorithms for 4 complex machine classes (Articulated Robot, Vertical CNC, Reciprocating Compressor, Centrifugal Pump) with animated leader lines and dynamic BOM callout sprites.</w:t>
      </w:r>
    </w:p>
    <w:p>
      <w:pPr>
        <w:pStyle w:val="ListParagraph"/>
        <w:numPr>
          <w:ilvl w:val="0"/>
          <w:numId w:val="1"/>
        </w:numPr>
        <w:spacing w:after="60" w:before="60" w:line="260"/>
      </w:pPr>
      <w:r>
        <w:rPr>
          <w:rFonts w:ascii="Calibri" w:cs="Calibri" w:eastAsia="Calibri" w:hAnsi="Calibri"/>
          <w:b/>
          <w:bCs/>
          <w:color w:val="1E3A8A"/>
          <w:sz w:val="22"/>
          <w:szCs w:val="22"/>
        </w:rPr>
        <w:t xml:space="preserve">Objective 4 (2D SCADA Mimics &amp; Diagnostics): </w:t>
      </w:r>
      <w:r>
        <w:rPr>
          <w:rFonts w:ascii="Calibri" w:cs="Calibri" w:eastAsia="Calibri" w:hAnsi="Calibri"/>
          <w:color w:val="1E293B"/>
          <w:sz w:val="22"/>
          <w:szCs w:val="22"/>
        </w:rPr>
        <w:t xml:space="preserve">Build full-featured 2D engineering interfaces with real-time G-code parsing, P-V thermodynamic indicator loops, H-Q hydraulic performance curves, and ISO 10816 vibration FFT spectral breakdowns.</w:t>
      </w:r>
    </w:p>
    <w:p>
      <w:pPr>
        <w:pStyle w:val="ListParagraph"/>
        <w:numPr>
          <w:ilvl w:val="0"/>
          <w:numId w:val="1"/>
        </w:numPr>
        <w:spacing w:after="60" w:before="60" w:line="260"/>
      </w:pPr>
      <w:r>
        <w:rPr>
          <w:rFonts w:ascii="Calibri" w:cs="Calibri" w:eastAsia="Calibri" w:hAnsi="Calibri"/>
          <w:b/>
          <w:bCs/>
          <w:color w:val="1E3A8A"/>
          <w:sz w:val="22"/>
          <w:szCs w:val="22"/>
        </w:rPr>
        <w:t xml:space="preserve">Objective 5 ('What-If' Sandbox &amp; CMMS Workflow): </w:t>
      </w:r>
      <w:r>
        <w:rPr>
          <w:rFonts w:ascii="Calibri" w:cs="Calibri" w:eastAsia="Calibri" w:hAnsi="Calibri"/>
          <w:color w:val="1E293B"/>
          <w:sz w:val="22"/>
          <w:szCs w:val="22"/>
        </w:rPr>
        <w:t xml:space="preserve">Implement Archard's wear and ISO 281 bearing life equations allowing operators to simulate accelerated wear under abnormal operational envelopes and instantly generate ISO 55001 audit-ready maintenance work orders.</w:t>
      </w:r>
    </w:p>
    <w:p>
      <w:pPr>
        <w:pStyle w:val="Heading2"/>
        <w:spacing w:after="120" w:before="260"/>
        <w:rPr>
          <w:rFonts w:ascii="Calibri" w:cs="Calibri" w:eastAsia="Calibri" w:hAnsi="Calibri"/>
          <w:b/>
          <w:bCs/>
          <w:color w:val="2563EB"/>
          <w:sz w:val="26"/>
          <w:szCs w:val="26"/>
        </w:rPr>
      </w:pPr>
      <w:r>
        <w:t xml:space="preserve">1.5 Scope and Delimitations</w:t>
      </w:r>
    </w:p>
    <w:p>
      <w:pPr>
        <w:spacing w:after="80" w:before="80" w:line="276"/>
      </w:pPr>
      <w:r>
        <w:rPr>
          <w:rFonts w:ascii="Calibri" w:cs="Calibri" w:eastAsia="Calibri" w:hAnsi="Calibri"/>
          <w:b w:val="false"/>
          <w:bCs w:val="false"/>
          <w:color w:val="1E293B"/>
          <w:sz w:val="22"/>
          <w:szCs w:val="22"/>
        </w:rPr>
        <w:t xml:space="preserve">Scope: The system models a multi-zone industrial facility encompassing 6 core asset types: Centrifugal Slurry Pump (P-101), Vertical CNC Milling Center (CNC-001), Dual-Stage Air Compressor (COMP-201), Material Belt Conveyor (CONV-401), Power Transformer (XFMR-302), and Articulated Heavy-Payload Industrial Robot (ROB-001). The platform supports real-time telemetry streaming, condition-based health indexing, Weibull reliability modeling, and computerized work order authorization.</w:t>
      </w:r>
    </w:p>
    <w:p>
      <w:pPr>
        <w:spacing w:after="80" w:before="80" w:line="276"/>
      </w:pPr>
      <w:r>
        <w:rPr>
          <w:rFonts w:ascii="Calibri" w:cs="Calibri" w:eastAsia="Calibri" w:hAnsi="Calibri"/>
          <w:b w:val="false"/>
          <w:bCs w:val="false"/>
          <w:color w:val="1E293B"/>
          <w:sz w:val="22"/>
          <w:szCs w:val="22"/>
        </w:rPr>
        <w:t xml:space="preserve">Delimitations: Physical machine sensors are simulated using high-fidelity stochastic mathematical equations incorporating Gaussian noise, cyclic thermodynamic loads, and health-governed degradation curves, dispatched through a simulated MQTT/OPC-UA telemetry broker. Direct physical PLC hardware integration is abstracted through the edge gateway interface.</w:t>
      </w:r>
    </w:p>
    <w:p>
      <w:r>
        <w:br w:type="page"/>
      </w:r>
    </w:p>
    <w:p>
      <w:pPr>
        <w:pStyle w:val="Heading1"/>
        <w:spacing w:after="180" w:before="360"/>
        <w:rPr>
          <w:rFonts w:ascii="Calibri" w:cs="Calibri" w:eastAsia="Calibri" w:hAnsi="Calibri"/>
          <w:b/>
          <w:bCs/>
          <w:color w:val="1E3A8A"/>
          <w:sz w:val="32"/>
          <w:szCs w:val="32"/>
        </w:rPr>
      </w:pPr>
      <w:r>
        <w:t xml:space="preserve">CHAPTER 2: LITERATURE REVIEW &amp; THEORETICAL FOUNDATIONS</w:t>
      </w:r>
    </w:p>
    <w:p>
      <w:pPr>
        <w:pStyle w:val="Heading2"/>
        <w:spacing w:after="120" w:before="260"/>
        <w:rPr>
          <w:rFonts w:ascii="Calibri" w:cs="Calibri" w:eastAsia="Calibri" w:hAnsi="Calibri"/>
          <w:b/>
          <w:bCs/>
          <w:color w:val="2563EB"/>
          <w:sz w:val="26"/>
          <w:szCs w:val="26"/>
        </w:rPr>
      </w:pPr>
      <w:r>
        <w:t xml:space="preserve">2.1 Evolution of Industrial Maintenance Paradigms</w:t>
      </w:r>
    </w:p>
    <w:p>
      <w:pPr>
        <w:spacing w:after="80" w:before="80" w:line="276"/>
      </w:pPr>
      <w:r>
        <w:rPr>
          <w:rFonts w:ascii="Calibri" w:cs="Calibri" w:eastAsia="Calibri" w:hAnsi="Calibri"/>
          <w:b w:val="false"/>
          <w:bCs w:val="false"/>
          <w:color w:val="1E293B"/>
          <w:sz w:val="22"/>
          <w:szCs w:val="22"/>
        </w:rPr>
        <w:t xml:space="preserve">Industrial asset maintenance has evolved across four distinct technological generations. The following table highlights the comparative strengths and operational trade-offs across these paradigms: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986"/>
        <w:gridCol w:w="2347"/>
        <w:gridCol w:w="1625"/>
        <w:gridCol w:w="1986"/>
      </w:tblGrid>
      <w:tr>
        <w:trPr>
          <w:tblHeader/>
        </w:trPr>
        <w:tc>
          <w:tcPr>
            <w:tcW w:type="pct" w:w="6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Generation</w:t>
            </w:r>
          </w:p>
        </w:tc>
        <w:tc>
          <w:tcPr>
            <w:tcW w:type="pct" w:w="11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Maintenance Strategy</w:t>
            </w:r>
          </w:p>
        </w:tc>
        <w:tc>
          <w:tcPr>
            <w:tcW w:type="pct" w:w="13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Operational Philosophy</w:t>
            </w:r>
          </w:p>
        </w:tc>
        <w:tc>
          <w:tcPr>
            <w:tcW w:type="pct" w:w="9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Failure Trigger</w:t>
            </w:r>
          </w:p>
        </w:tc>
        <w:tc>
          <w:tcPr>
            <w:tcW w:type="pct" w:w="11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Industrial Limitations</w:t>
            </w:r>
          </w:p>
        </w:tc>
      </w:tr>
      <w:tr>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Gen 1</w:t>
            </w:r>
          </w:p>
        </w:tc>
        <w:tc>
          <w:tcPr>
            <w:tcW w:type="pct"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Reactive (Breakdown)</w:t>
            </w:r>
          </w:p>
        </w:tc>
        <w:tc>
          <w:tcPr>
            <w:tcW w:type="pct"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Run-to-failure; repair only after seizure</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Mechanical stoppage</w:t>
            </w:r>
          </w:p>
        </w:tc>
        <w:tc>
          <w:tcPr>
            <w:tcW w:type="pct"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Catastrophic collateral damage, severe safety risks, costly halts</w:t>
            </w:r>
          </w:p>
        </w:tc>
      </w:tr>
      <w:tr>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Gen 2</w:t>
            </w:r>
          </w:p>
        </w:tc>
        <w:tc>
          <w:tcPr>
            <w:tcW w:type="pct"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Preventive (PM)</w:t>
            </w:r>
          </w:p>
        </w:tc>
        <w:tc>
          <w:tcPr>
            <w:tcW w:type="pct"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Fixed calendar- or runtime-based replacement</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Pre-set time limit (e.g., 5000h)</w:t>
            </w:r>
          </w:p>
        </w:tc>
        <w:tc>
          <w:tcPr>
            <w:tcW w:type="pct"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35% premature component replacement; stochastic defects missed</w:t>
            </w:r>
          </w:p>
        </w:tc>
      </w:tr>
      <w:tr>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Gen 3</w:t>
            </w:r>
          </w:p>
        </w:tc>
        <w:tc>
          <w:tcPr>
            <w:tcW w:type="pct"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Condition-Based (CBM)</w:t>
            </w:r>
          </w:p>
        </w:tc>
        <w:tc>
          <w:tcPr>
            <w:tcW w:type="pct"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Threshold alarms on vibration or temp</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Scalar limit breach (&gt;4.5mm/s)</w:t>
            </w:r>
          </w:p>
        </w:tc>
        <w:tc>
          <w:tcPr>
            <w:tcW w:type="pct"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No Remaining Useful Life (RUL) projection; false alarm sensitivity</w:t>
            </w:r>
          </w:p>
        </w:tc>
      </w:tr>
      <w:tr>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Gen 4</w:t>
            </w:r>
          </w:p>
        </w:tc>
        <w:tc>
          <w:tcPr>
            <w:tcW w:type="pct"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Predictive (Digital Twin)</w:t>
            </w:r>
          </w:p>
        </w:tc>
        <w:tc>
          <w:tcPr>
            <w:tcW w:type="pct"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Cyber-physical continuous modeling &amp; physics ML</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Degradation trajectory signature</w:t>
            </w:r>
          </w:p>
        </w:tc>
        <w:tc>
          <w:tcPr>
            <w:tcW w:type="pct"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Requires high-fidelity 3D modeling and multi-sensor data fusion</w:t>
            </w:r>
          </w:p>
        </w:tc>
      </w:tr>
    </w:tbl>
    <w:p>
      <w:pPr>
        <w:pStyle w:val="Heading2"/>
        <w:spacing w:after="120" w:before="260"/>
        <w:rPr>
          <w:rFonts w:ascii="Calibri" w:cs="Calibri" w:eastAsia="Calibri" w:hAnsi="Calibri"/>
          <w:b/>
          <w:bCs/>
          <w:color w:val="2563EB"/>
          <w:sz w:val="26"/>
          <w:szCs w:val="26"/>
        </w:rPr>
      </w:pPr>
      <w:r>
        <w:t xml:space="preserve">2.2 Digital Twin Conceptual Models &amp; ISO 23247 Standards</w:t>
      </w:r>
    </w:p>
    <w:p>
      <w:pPr>
        <w:spacing w:after="80" w:before="80" w:line="276"/>
      </w:pPr>
      <w:r>
        <w:rPr>
          <w:rFonts w:ascii="Calibri" w:cs="Calibri" w:eastAsia="Calibri" w:hAnsi="Calibri"/>
          <w:b w:val="false"/>
          <w:bCs w:val="false"/>
          <w:color w:val="1E293B"/>
          <w:sz w:val="22"/>
          <w:szCs w:val="22"/>
        </w:rPr>
        <w:t xml:space="preserve">The ISO 23247 standard (Automation systems and integration — Digital twin framework for manufacturing) establishes the reference architecture for manufacturing digital twins across four key sub-domains: (1) Observable Manufacturing Elements (OME), (2) Data Collection &amp; Device Control Entity, (3) Digital Twin Entity, and (4) User Entity. SmartFactory AI maps directly onto this specification, executing the Digital Twin Entity inside a high-performance WebGL/Three.js browser runtime and communicating with the Data Collection Entity via MQTT/OPC-UA tag abstractions.</w:t>
      </w:r>
    </w:p>
    <w:p>
      <w:pPr>
        <w:pStyle w:val="Heading2"/>
        <w:spacing w:after="120" w:before="260"/>
        <w:rPr>
          <w:rFonts w:ascii="Calibri" w:cs="Calibri" w:eastAsia="Calibri" w:hAnsi="Calibri"/>
          <w:b/>
          <w:bCs/>
          <w:color w:val="2563EB"/>
          <w:sz w:val="26"/>
          <w:szCs w:val="26"/>
        </w:rPr>
      </w:pPr>
      <w:r>
        <w:t xml:space="preserve">2.3 Mechanical Condition Monitoring &amp; Industrial Standards</w:t>
      </w:r>
    </w:p>
    <w:p>
      <w:pPr>
        <w:spacing w:after="80" w:before="80" w:line="276"/>
      </w:pPr>
      <w:r>
        <w:rPr>
          <w:rFonts w:ascii="Calibri" w:cs="Calibri" w:eastAsia="Calibri" w:hAnsi="Calibri"/>
          <w:b w:val="false"/>
          <w:bCs w:val="false"/>
          <w:color w:val="1E293B"/>
          <w:sz w:val="22"/>
          <w:szCs w:val="22"/>
        </w:rPr>
        <w:t xml:space="preserve">To ensure enterprise fidelity, the platform embeds mathematical thresholds from internationally recognized mechanical standards:</w:t>
      </w:r>
    </w:p>
    <w:p>
      <w:pPr>
        <w:pStyle w:val="ListParagraph"/>
        <w:numPr>
          <w:ilvl w:val="0"/>
          <w:numId w:val="1"/>
        </w:numPr>
        <w:spacing w:after="60" w:before="60" w:line="260"/>
      </w:pPr>
      <w:r>
        <w:rPr>
          <w:rFonts w:ascii="Calibri" w:cs="Calibri" w:eastAsia="Calibri" w:hAnsi="Calibri"/>
          <w:b/>
          <w:bCs/>
          <w:color w:val="1E3A8A"/>
          <w:sz w:val="22"/>
          <w:szCs w:val="22"/>
        </w:rPr>
        <w:t xml:space="preserve">ISO 10816-3 (Mechanical Vibration Severity): </w:t>
      </w:r>
      <w:r>
        <w:rPr>
          <w:rFonts w:ascii="Calibri" w:cs="Calibri" w:eastAsia="Calibri" w:hAnsi="Calibri"/>
          <w:color w:val="1E293B"/>
          <w:sz w:val="22"/>
          <w:szCs w:val="22"/>
        </w:rPr>
        <w:t xml:space="preserve">Evaluates overall RMS vibration velocity (10 Hz - 1000 Hz) into Zone A (Good: &lt;1.4 mm/s), Zone B (Satisfactory: 1.4 - 2.8 mm/s), Zone C (Unsatisfactory / Warning: 2.8 - 4.5 mm/s), and Zone D (Unacceptable / Critical: &gt;4.5 mm/s).</w:t>
      </w:r>
    </w:p>
    <w:p>
      <w:pPr>
        <w:pStyle w:val="ListParagraph"/>
        <w:numPr>
          <w:ilvl w:val="0"/>
          <w:numId w:val="1"/>
        </w:numPr>
        <w:spacing w:after="60" w:before="60" w:line="260"/>
      </w:pPr>
      <w:r>
        <w:rPr>
          <w:rFonts w:ascii="Calibri" w:cs="Calibri" w:eastAsia="Calibri" w:hAnsi="Calibri"/>
          <w:b/>
          <w:bCs/>
          <w:color w:val="1E3A8A"/>
          <w:sz w:val="22"/>
          <w:szCs w:val="22"/>
        </w:rPr>
        <w:t xml:space="preserve">API 610 (Centrifugal Pumps for Oil &amp; Gas): </w:t>
      </w:r>
      <w:r>
        <w:rPr>
          <w:rFonts w:ascii="Calibri" w:cs="Calibri" w:eastAsia="Calibri" w:hAnsi="Calibri"/>
          <w:color w:val="1E293B"/>
          <w:sz w:val="22"/>
          <w:szCs w:val="22"/>
        </w:rPr>
        <w:t xml:space="preserve">Defines maximum radial bearing housing operating temperature (82°C max, delta T &lt;= 45°C above ambient), mechanical seal chamber pressure limits, and Minimum Continuous Stable Flow (MCSF).</w:t>
      </w:r>
    </w:p>
    <w:p>
      <w:pPr>
        <w:pStyle w:val="ListParagraph"/>
        <w:numPr>
          <w:ilvl w:val="0"/>
          <w:numId w:val="1"/>
        </w:numPr>
        <w:spacing w:after="60" w:before="60" w:line="260"/>
      </w:pPr>
      <w:r>
        <w:rPr>
          <w:rFonts w:ascii="Calibri" w:cs="Calibri" w:eastAsia="Calibri" w:hAnsi="Calibri"/>
          <w:b/>
          <w:bCs/>
          <w:color w:val="1E3A8A"/>
          <w:sz w:val="22"/>
          <w:szCs w:val="22"/>
        </w:rPr>
        <w:t xml:space="preserve">IEC 60076-7 (Loading Guide for Power Transformers): </w:t>
      </w:r>
      <w:r>
        <w:rPr>
          <w:rFonts w:ascii="Calibri" w:cs="Calibri" w:eastAsia="Calibri" w:hAnsi="Calibri"/>
          <w:color w:val="1E293B"/>
          <w:sz w:val="22"/>
          <w:szCs w:val="22"/>
        </w:rPr>
        <w:t xml:space="preserve">Defines hottest-spot winding temperature limits (98°C for continuous normal life expectancy) and dissolved gas analysis (DGA) thresholds for hydrogen (H2) and acetylene (C2H2).</w:t>
      </w:r>
    </w:p>
    <w:p>
      <w:pPr>
        <w:pStyle w:val="ListParagraph"/>
        <w:numPr>
          <w:ilvl w:val="0"/>
          <w:numId w:val="1"/>
        </w:numPr>
        <w:spacing w:after="60" w:before="60" w:line="260"/>
      </w:pPr>
      <w:r>
        <w:rPr>
          <w:rFonts w:ascii="Calibri" w:cs="Calibri" w:eastAsia="Calibri" w:hAnsi="Calibri"/>
          <w:b/>
          <w:bCs/>
          <w:color w:val="1E3A8A"/>
          <w:sz w:val="22"/>
          <w:szCs w:val="22"/>
        </w:rPr>
        <w:t xml:space="preserve">ISO 55001 (Asset Management Systems): </w:t>
      </w:r>
      <w:r>
        <w:rPr>
          <w:rFonts w:ascii="Calibri" w:cs="Calibri" w:eastAsia="Calibri" w:hAnsi="Calibri"/>
          <w:color w:val="1E293B"/>
          <w:sz w:val="22"/>
          <w:szCs w:val="22"/>
        </w:rPr>
        <w:t xml:space="preserve">Prescribes the governance, tracking, authorized digital sign-off, and lifecycle auditing of physical industrial equipment.</w:t>
      </w:r>
    </w:p>
    <w:p>
      <w:pPr>
        <w:pStyle w:val="Heading2"/>
        <w:spacing w:after="120" w:before="260"/>
        <w:rPr>
          <w:rFonts w:ascii="Calibri" w:cs="Calibri" w:eastAsia="Calibri" w:hAnsi="Calibri"/>
          <w:b/>
          <w:bCs/>
          <w:color w:val="2563EB"/>
          <w:sz w:val="26"/>
          <w:szCs w:val="26"/>
        </w:rPr>
      </w:pPr>
      <w:r>
        <w:t xml:space="preserve">2.4 Mathematical Formulations &amp; Physics Derivations</w:t>
      </w:r>
    </w:p>
    <w:p>
      <w:pPr>
        <w:pStyle w:val="Heading3"/>
        <w:spacing w:after="80" w:before="200"/>
        <w:rPr>
          <w:rFonts w:ascii="Calibri" w:cs="Calibri" w:eastAsia="Calibri" w:hAnsi="Calibri"/>
          <w:b/>
          <w:bCs/>
          <w:color w:val="1E3A8A"/>
          <w:sz w:val="22"/>
          <w:szCs w:val="22"/>
        </w:rPr>
      </w:pPr>
      <w:r>
        <w:t xml:space="preserve">2.4.1 Bearing Defect Frequency Harmonics (FFT)</w:t>
      </w:r>
    </w:p>
    <w:p>
      <w:pPr>
        <w:spacing w:after="80" w:before="80" w:line="276"/>
      </w:pPr>
      <w:r>
        <w:rPr>
          <w:rFonts w:ascii="Calibri" w:cs="Calibri" w:eastAsia="Calibri" w:hAnsi="Calibri"/>
          <w:b w:val="false"/>
          <w:bCs w:val="false"/>
          <w:color w:val="1E293B"/>
          <w:sz w:val="22"/>
          <w:szCs w:val="22"/>
        </w:rPr>
        <w:t xml:space="preserve">Rolling element bearings exhibit distinct kinematic defect frequencies determined by their internal pitch diameter (Dp), ball diameter (db), number of rolling elements (n), contact angle (alpha), and shaft rotational frequency (fr = RPM / 60):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0284C7" w:sz="18"/>
              <w:bottom w:val="single" w:color="CBD5E1" w:sz="1"/>
              <w:right w:val="single" w:color="CBD5E1" w:sz="1"/>
            </w:tcBorders>
            <w:shd w:fill="F8FAFC" w:val="clear"/>
            <w:tcMar>
              <w:top w:type="dxa" w:w="100"/>
              <w:left w:type="dxa" w:w="160"/>
              <w:bottom w:type="dxa" w:w="100"/>
              <w:right w:type="dxa" w:w="160"/>
            </w:tcMar>
          </w:tcPr>
          <w:p>
            <w:pPr>
              <w:spacing w:after="40" w:before="40"/>
            </w:pPr>
            <w:r>
              <w:rPr>
                <w:rFonts w:ascii="Calibri" w:cs="Calibri" w:eastAsia="Calibri" w:hAnsi="Calibri"/>
                <w:b/>
                <w:bCs/>
                <w:color w:val="0369A1"/>
                <w:sz w:val="20"/>
                <w:szCs w:val="20"/>
              </w:rPr>
              <w:t xml:space="preserve">Mathematical Formulation: </w:t>
            </w:r>
            <w:r>
              <w:rPr>
                <w:rFonts w:ascii="Calibri" w:cs="Calibri" w:eastAsia="Calibri" w:hAnsi="Calibri"/>
                <w:b/>
                <w:bCs/>
                <w:color w:val="1E3A8A"/>
                <w:sz w:val="20"/>
                <w:szCs w:val="20"/>
              </w:rPr>
              <w:t xml:space="preserve">Bearing Harmonic Frequencies</w:t>
            </w:r>
          </w:p>
          <w:p>
            <w:pPr>
              <w:spacing w:after="80" w:before="80"/>
              <w:jc w:val="center"/>
            </w:pPr>
            <w:r>
              <w:rPr>
                <w:rFonts w:ascii="Consolas" w:cs="Consolas" w:eastAsia="Consolas" w:hAnsi="Consolas"/>
                <w:b/>
                <w:bCs/>
                <w:color w:val="0F172A"/>
                <w:sz w:val="24"/>
                <w:szCs w:val="24"/>
              </w:rPr>
              <w:t xml:space="preserve">f_1X = RPM / 60  |  f_2X = 2 * f_1X  |  f_BPFO = (n/2)*fr*(1 - (db/Dp)*cos(alpha)) ≈ 3.08 * f_1X</w:t>
            </w:r>
          </w:p>
          <w:p>
            <w:pPr>
              <w:spacing w:after="40" w:before="40"/>
            </w:pPr>
            <w:r>
              <w:rPr>
                <w:rFonts w:ascii="Calibri" w:cs="Calibri" w:eastAsia="Calibri" w:hAnsi="Calibri"/>
                <w:color w:val="64748B"/>
                <w:sz w:val="18"/>
                <w:szCs w:val="18"/>
              </w:rPr>
              <w:t xml:space="preserve">Where: </w:t>
            </w:r>
            <w:r>
              <w:rPr>
                <w:rFonts w:ascii="Calibri" w:cs="Calibri" w:eastAsia="Calibri" w:hAnsi="Calibri"/>
                <w:color w:val="1E293B"/>
                <w:sz w:val="18"/>
                <w:szCs w:val="18"/>
              </w:rPr>
              <w:t xml:space="preserve">f_1X is fundamental rotational speed; f_2X is shaft misalignment harmonic; f_BPFO is Ball Pass Frequency Outer Race; f_BPFI is Ball Pass Frequency Inner Race (≈ 4.92 * f_1X).</w:t>
            </w:r>
          </w:p>
        </w:tc>
      </w:tr>
    </w:tbl>
    <w:p>
      <w:pPr>
        <w:spacing w:after="80" w:before="80" w:line="276"/>
      </w:pPr>
      <w:r>
        <w:rPr>
          <w:rFonts w:ascii="Calibri" w:cs="Calibri" w:eastAsia="Calibri" w:hAnsi="Calibri"/>
          <w:b w:val="false"/>
          <w:bCs w:val="false"/>
          <w:color w:val="1E293B"/>
          <w:sz w:val="22"/>
          <w:szCs w:val="22"/>
        </w:rPr>
        <w:t xml:space="preserve">In SmartFactory AI's VibrationFFT engine, synthetic spectral amplitude at frequency f is evaluated with degradation factor D = (100 - Health) / 100, which selectively magnifies the BPFO harmonic spike by (0.2 + 1.8D) as subsurface fatigue progresses.</w:t>
      </w:r>
    </w:p>
    <w:p>
      <w:pPr>
        <w:pStyle w:val="Heading3"/>
        <w:spacing w:after="80" w:before="200"/>
        <w:rPr>
          <w:rFonts w:ascii="Calibri" w:cs="Calibri" w:eastAsia="Calibri" w:hAnsi="Calibri"/>
          <w:b/>
          <w:bCs/>
          <w:color w:val="1E3A8A"/>
          <w:sz w:val="22"/>
          <w:szCs w:val="22"/>
        </w:rPr>
      </w:pPr>
      <w:r>
        <w:t xml:space="preserve">2.4.2 Distance-Field Gaussian Heat Conduction Shader</w:t>
      </w:r>
    </w:p>
    <w:p>
      <w:pPr>
        <w:spacing w:after="80" w:before="80" w:line="276"/>
      </w:pPr>
      <w:r>
        <w:rPr>
          <w:rFonts w:ascii="Calibri" w:cs="Calibri" w:eastAsia="Calibri" w:hAnsi="Calibri"/>
          <w:b w:val="false"/>
          <w:bCs w:val="false"/>
          <w:color w:val="1E293B"/>
          <w:sz w:val="22"/>
          <w:szCs w:val="22"/>
        </w:rPr>
        <w:t xml:space="preserve">To model continuous thermal conduction across arbitrary 3D CAD meshes without performing computationally prohibitive full-volume FEA meshing in the browser, the platform formulates a GPU Distance-Field Gaussian Conduction Model: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0284C7" w:sz="18"/>
              <w:bottom w:val="single" w:color="CBD5E1" w:sz="1"/>
              <w:right w:val="single" w:color="CBD5E1" w:sz="1"/>
            </w:tcBorders>
            <w:shd w:fill="F8FAFC" w:val="clear"/>
            <w:tcMar>
              <w:top w:type="dxa" w:w="100"/>
              <w:left w:type="dxa" w:w="160"/>
              <w:bottom w:type="dxa" w:w="100"/>
              <w:right w:type="dxa" w:w="160"/>
            </w:tcMar>
          </w:tcPr>
          <w:p>
            <w:pPr>
              <w:spacing w:after="40" w:before="40"/>
            </w:pPr>
            <w:r>
              <w:rPr>
                <w:rFonts w:ascii="Calibri" w:cs="Calibri" w:eastAsia="Calibri" w:hAnsi="Calibri"/>
                <w:b/>
                <w:bCs/>
                <w:color w:val="0369A1"/>
                <w:sz w:val="20"/>
                <w:szCs w:val="20"/>
              </w:rPr>
              <w:t xml:space="preserve">Mathematical Formulation: </w:t>
            </w:r>
            <w:r>
              <w:rPr>
                <w:rFonts w:ascii="Calibri" w:cs="Calibri" w:eastAsia="Calibri" w:hAnsi="Calibri"/>
                <w:b/>
                <w:bCs/>
                <w:color w:val="1E3A8A"/>
                <w:sz w:val="20"/>
                <w:szCs w:val="20"/>
              </w:rPr>
              <w:t xml:space="preserve">Surface Temperature Superposition</w:t>
            </w:r>
          </w:p>
          <w:p>
            <w:pPr>
              <w:spacing w:after="80" w:before="80"/>
              <w:jc w:val="center"/>
            </w:pPr>
            <w:r>
              <w:rPr>
                <w:rFonts w:ascii="Consolas" w:cs="Consolas" w:eastAsia="Consolas" w:hAnsi="Consolas"/>
                <w:b/>
                <w:bCs/>
                <w:color w:val="0F172A"/>
                <w:sz w:val="24"/>
                <w:szCs w:val="24"/>
              </w:rPr>
              <w:t xml:space="preserve">T(P) = T_ambient + Σ [ (T_i - T_ambient) * exp(- ||P - C_i||^2 / (2 * r_i^2)) ]</w:t>
            </w:r>
          </w:p>
          <w:p>
            <w:pPr>
              <w:spacing w:after="40" w:before="40"/>
            </w:pPr>
            <w:r>
              <w:rPr>
                <w:rFonts w:ascii="Calibri" w:cs="Calibri" w:eastAsia="Calibri" w:hAnsi="Calibri"/>
                <w:color w:val="64748B"/>
                <w:sz w:val="18"/>
                <w:szCs w:val="18"/>
              </w:rPr>
              <w:t xml:space="preserve">Where: </w:t>
            </w:r>
            <w:r>
              <w:rPr>
                <w:rFonts w:ascii="Calibri" w:cs="Calibri" w:eastAsia="Calibri" w:hAnsi="Calibri"/>
                <w:color w:val="1E293B"/>
                <w:sz w:val="18"/>
                <w:szCs w:val="18"/>
              </w:rPr>
              <w:t xml:space="preserve">P is the surface point in assembly space; C_i is the 3D position of probe i; T_i is measured sensor temperature; r_i is conduction spread radius; T_ambient is plant ambient temperature (30°C).</w:t>
            </w:r>
          </w:p>
        </w:tc>
      </w:tr>
    </w:tbl>
    <w:p>
      <w:pPr>
        <w:pStyle w:val="Heading3"/>
        <w:spacing w:after="80" w:before="200"/>
        <w:rPr>
          <w:rFonts w:ascii="Calibri" w:cs="Calibri" w:eastAsia="Calibri" w:hAnsi="Calibri"/>
          <w:b/>
          <w:bCs/>
          <w:color w:val="1E3A8A"/>
          <w:sz w:val="22"/>
          <w:szCs w:val="22"/>
        </w:rPr>
      </w:pPr>
      <w:r>
        <w:t xml:space="preserve">2.4.3 Archard Wear &amp; ISO 281 Accelerated Life Law</w:t>
      </w:r>
    </w:p>
    <w:p>
      <w:pPr>
        <w:spacing w:after="80" w:before="80" w:line="276"/>
      </w:pPr>
      <w:r>
        <w:rPr>
          <w:rFonts w:ascii="Calibri" w:cs="Calibri" w:eastAsia="Calibri" w:hAnsi="Calibri"/>
          <w:b w:val="false"/>
          <w:bCs w:val="false"/>
          <w:color w:val="1E293B"/>
          <w:sz w:val="22"/>
          <w:szCs w:val="22"/>
        </w:rPr>
        <w:t xml:space="preserve">In the 'What-If' operational simulation sandbox, mechanical wear and remaining useful life are modeled through a combined formulation of Archard's wear law and the ISO 281 bearing fatigue life relationship L10 = (C/P)^p: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0284C7" w:sz="18"/>
              <w:bottom w:val="single" w:color="CBD5E1" w:sz="1"/>
              <w:right w:val="single" w:color="CBD5E1" w:sz="1"/>
            </w:tcBorders>
            <w:shd w:fill="F8FAFC" w:val="clear"/>
            <w:tcMar>
              <w:top w:type="dxa" w:w="100"/>
              <w:left w:type="dxa" w:w="160"/>
              <w:bottom w:type="dxa" w:w="100"/>
              <w:right w:type="dxa" w:w="160"/>
            </w:tcMar>
          </w:tcPr>
          <w:p>
            <w:pPr>
              <w:spacing w:after="40" w:before="40"/>
            </w:pPr>
            <w:r>
              <w:rPr>
                <w:rFonts w:ascii="Calibri" w:cs="Calibri" w:eastAsia="Calibri" w:hAnsi="Calibri"/>
                <w:b/>
                <w:bCs/>
                <w:color w:val="0369A1"/>
                <w:sz w:val="20"/>
                <w:szCs w:val="20"/>
              </w:rPr>
              <w:t xml:space="preserve">Mathematical Formulation: </w:t>
            </w:r>
            <w:r>
              <w:rPr>
                <w:rFonts w:ascii="Calibri" w:cs="Calibri" w:eastAsia="Calibri" w:hAnsi="Calibri"/>
                <w:b/>
                <w:bCs/>
                <w:color w:val="1E3A8A"/>
                <w:sz w:val="20"/>
                <w:szCs w:val="20"/>
              </w:rPr>
              <w:t xml:space="preserve">Wear Acceleration Factor (Kw) &amp; Adjusted RUL</w:t>
            </w:r>
          </w:p>
          <w:p>
            <w:pPr>
              <w:spacing w:after="80" w:before="80"/>
              <w:jc w:val="center"/>
            </w:pPr>
            <w:r>
              <w:rPr>
                <w:rFonts w:ascii="Consolas" w:cs="Consolas" w:eastAsia="Consolas" w:hAnsi="Consolas"/>
                <w:b/>
                <w:bCs/>
                <w:color w:val="0F172A"/>
                <w:sz w:val="24"/>
                <w:szCs w:val="24"/>
              </w:rPr>
              <w:t xml:space="preserve">Kw = [ (L_ratio)^2.5 * (S_ratio)^1.4 ] / η_lube   ===&gt;   RUL_adj = max(5, round(RUL_base / Kw))</w:t>
            </w:r>
          </w:p>
          <w:p>
            <w:pPr>
              <w:spacing w:after="40" w:before="40"/>
            </w:pPr>
            <w:r>
              <w:rPr>
                <w:rFonts w:ascii="Calibri" w:cs="Calibri" w:eastAsia="Calibri" w:hAnsi="Calibri"/>
                <w:color w:val="64748B"/>
                <w:sz w:val="18"/>
                <w:szCs w:val="18"/>
              </w:rPr>
              <w:t xml:space="preserve">Where: </w:t>
            </w:r>
            <w:r>
              <w:rPr>
                <w:rFonts w:ascii="Calibri" w:cs="Calibri" w:eastAsia="Calibri" w:hAnsi="Calibri"/>
                <w:color w:val="1E293B"/>
                <w:sz w:val="18"/>
                <w:szCs w:val="18"/>
              </w:rPr>
              <w:t xml:space="preserve">L_ratio is applied load ratio (Load / Load_nom); S_ratio is rotational speed ratio (RPM / RPM_nom); η_lube is lubricant regime factor (0.60 for poor, 1.00 for nominal, 1.35 for premium synthetic).</w:t>
            </w:r>
          </w:p>
        </w:tc>
      </w:tr>
    </w:tbl>
    <w:p>
      <w:pPr>
        <w:pStyle w:val="Heading3"/>
        <w:spacing w:after="80" w:before="200"/>
        <w:rPr>
          <w:rFonts w:ascii="Calibri" w:cs="Calibri" w:eastAsia="Calibri" w:hAnsi="Calibri"/>
          <w:b/>
          <w:bCs/>
          <w:color w:val="1E3A8A"/>
          <w:sz w:val="22"/>
          <w:szCs w:val="22"/>
        </w:rPr>
      </w:pPr>
      <w:r>
        <w:t xml:space="preserve">2.4.4 Two-Parameter Weibull Reliability Distribution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0284C7" w:sz="18"/>
              <w:bottom w:val="single" w:color="CBD5E1" w:sz="1"/>
              <w:right w:val="single" w:color="CBD5E1" w:sz="1"/>
            </w:tcBorders>
            <w:shd w:fill="F8FAFC" w:val="clear"/>
            <w:tcMar>
              <w:top w:type="dxa" w:w="100"/>
              <w:left w:type="dxa" w:w="160"/>
              <w:bottom w:type="dxa" w:w="100"/>
              <w:right w:type="dxa" w:w="160"/>
            </w:tcMar>
          </w:tcPr>
          <w:p>
            <w:pPr>
              <w:spacing w:after="40" w:before="40"/>
            </w:pPr>
            <w:r>
              <w:rPr>
                <w:rFonts w:ascii="Calibri" w:cs="Calibri" w:eastAsia="Calibri" w:hAnsi="Calibri"/>
                <w:b/>
                <w:bCs/>
                <w:color w:val="0369A1"/>
                <w:sz w:val="20"/>
                <w:szCs w:val="20"/>
              </w:rPr>
              <w:t xml:space="preserve">Mathematical Formulation: </w:t>
            </w:r>
            <w:r>
              <w:rPr>
                <w:rFonts w:ascii="Calibri" w:cs="Calibri" w:eastAsia="Calibri" w:hAnsi="Calibri"/>
                <w:b/>
                <w:bCs/>
                <w:color w:val="1E3A8A"/>
                <w:sz w:val="20"/>
                <w:szCs w:val="20"/>
              </w:rPr>
              <w:t xml:space="preserve">Weibull Cumulative Failure Probability F(t)</w:t>
            </w:r>
          </w:p>
          <w:p>
            <w:pPr>
              <w:spacing w:after="80" w:before="80"/>
              <w:jc w:val="center"/>
            </w:pPr>
            <w:r>
              <w:rPr>
                <w:rFonts w:ascii="Consolas" w:cs="Consolas" w:eastAsia="Consolas" w:hAnsi="Consolas"/>
                <w:b/>
                <w:bCs/>
                <w:color w:val="0F172A"/>
                <w:sz w:val="24"/>
                <w:szCs w:val="24"/>
              </w:rPr>
              <w:t xml:space="preserve">F(t) = 1 - exp(- (t / η)^β )   ===&gt;   h(t) = (β / η) * (t / η)^(β - 1)</w:t>
            </w:r>
          </w:p>
          <w:p>
            <w:pPr>
              <w:spacing w:after="40" w:before="40"/>
            </w:pPr>
            <w:r>
              <w:rPr>
                <w:rFonts w:ascii="Calibri" w:cs="Calibri" w:eastAsia="Calibri" w:hAnsi="Calibri"/>
                <w:color w:val="64748B"/>
                <w:sz w:val="18"/>
                <w:szCs w:val="18"/>
              </w:rPr>
              <w:t xml:space="preserve">Where: </w:t>
            </w:r>
            <w:r>
              <w:rPr>
                <w:rFonts w:ascii="Calibri" w:cs="Calibri" w:eastAsia="Calibri" w:hAnsi="Calibri"/>
                <w:color w:val="1E293B"/>
                <w:sz w:val="18"/>
                <w:szCs w:val="18"/>
              </w:rPr>
              <w:t xml:space="preserve">t is operating runtime hours; β is Weibull shape parameter (β = 2.5 &gt; 1.0, modeling mechanical wear-out); η is characteristic life scale parameter (runtime at which 63.2% of units fail, e.g. 5,000h).</w:t>
            </w:r>
          </w:p>
        </w:tc>
      </w:tr>
    </w:tbl>
    <w:p>
      <w:pPr>
        <w:pStyle w:val="Heading3"/>
        <w:spacing w:after="80" w:before="200"/>
        <w:rPr>
          <w:rFonts w:ascii="Calibri" w:cs="Calibri" w:eastAsia="Calibri" w:hAnsi="Calibri"/>
          <w:b/>
          <w:bCs/>
          <w:color w:val="1E3A8A"/>
          <w:sz w:val="22"/>
          <w:szCs w:val="22"/>
        </w:rPr>
      </w:pPr>
      <w:r>
        <w:t xml:space="preserve">2.4.5 Hydraulic Cavitation &amp; NPSH Margins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0284C7" w:sz="18"/>
              <w:bottom w:val="single" w:color="CBD5E1" w:sz="1"/>
              <w:right w:val="single" w:color="CBD5E1" w:sz="1"/>
            </w:tcBorders>
            <w:shd w:fill="F8FAFC" w:val="clear"/>
            <w:tcMar>
              <w:top w:type="dxa" w:w="100"/>
              <w:left w:type="dxa" w:w="160"/>
              <w:bottom w:type="dxa" w:w="100"/>
              <w:right w:type="dxa" w:w="160"/>
            </w:tcMar>
          </w:tcPr>
          <w:p>
            <w:pPr>
              <w:spacing w:after="40" w:before="40"/>
            </w:pPr>
            <w:r>
              <w:rPr>
                <w:rFonts w:ascii="Calibri" w:cs="Calibri" w:eastAsia="Calibri" w:hAnsi="Calibri"/>
                <w:b/>
                <w:bCs/>
                <w:color w:val="0369A1"/>
                <w:sz w:val="20"/>
                <w:szCs w:val="20"/>
              </w:rPr>
              <w:t xml:space="preserve">Mathematical Formulation: </w:t>
            </w:r>
            <w:r>
              <w:rPr>
                <w:rFonts w:ascii="Calibri" w:cs="Calibri" w:eastAsia="Calibri" w:hAnsi="Calibri"/>
                <w:b/>
                <w:bCs/>
                <w:color w:val="1E3A8A"/>
                <w:sz w:val="20"/>
                <w:szCs w:val="20"/>
              </w:rPr>
              <w:t xml:space="preserve">Net Positive Suction Head Margin</w:t>
            </w:r>
          </w:p>
          <w:p>
            <w:pPr>
              <w:spacing w:after="80" w:before="80"/>
              <w:jc w:val="center"/>
            </w:pPr>
            <w:r>
              <w:rPr>
                <w:rFonts w:ascii="Consolas" w:cs="Consolas" w:eastAsia="Consolas" w:hAnsi="Consolas"/>
                <w:b/>
                <w:bCs/>
                <w:color w:val="0F172A"/>
                <w:sz w:val="24"/>
                <w:szCs w:val="24"/>
              </w:rPr>
              <w:t xml:space="preserve">Margin_NPSH = NPSH_Available - NPSH_Required   [where NPSH_Req = 2.8 m]</w:t>
            </w:r>
          </w:p>
          <w:p>
            <w:pPr>
              <w:spacing w:after="40" w:before="40"/>
            </w:pPr>
            <w:r>
              <w:rPr>
                <w:rFonts w:ascii="Calibri" w:cs="Calibri" w:eastAsia="Calibri" w:hAnsi="Calibri"/>
                <w:color w:val="64748B"/>
                <w:sz w:val="18"/>
                <w:szCs w:val="18"/>
              </w:rPr>
              <w:t xml:space="preserve">Where: </w:t>
            </w:r>
            <w:r>
              <w:rPr>
                <w:rFonts w:ascii="Calibri" w:cs="Calibri" w:eastAsia="Calibri" w:hAnsi="Calibri"/>
                <w:color w:val="1E293B"/>
                <w:sz w:val="18"/>
                <w:szCs w:val="18"/>
              </w:rPr>
              <w:t xml:space="preserve">When Margin_NPSH &lt; 0.5 m, Cavitation Risk = WARNING; when Margin_NPSH &lt; 0.1 m, severe vapor bubble collapse triggers a CRITICAL trip state.</w:t>
            </w:r>
          </w:p>
        </w:tc>
      </w:tr>
    </w:tbl>
    <w:p>
      <w:r>
        <w:br w:type="page"/>
      </w:r>
    </w:p>
    <w:p>
      <w:pPr>
        <w:pStyle w:val="Heading1"/>
        <w:spacing w:after="180" w:before="360"/>
        <w:rPr>
          <w:rFonts w:ascii="Calibri" w:cs="Calibri" w:eastAsia="Calibri" w:hAnsi="Calibri"/>
          <w:b/>
          <w:bCs/>
          <w:color w:val="1E3A8A"/>
          <w:sz w:val="32"/>
          <w:szCs w:val="32"/>
        </w:rPr>
      </w:pPr>
      <w:r>
        <w:t xml:space="preserve">CHAPTER 3: SYSTEM ARCHITECTURE &amp; METHODOLOGY</w:t>
      </w:r>
    </w:p>
    <w:p>
      <w:pPr>
        <w:pStyle w:val="Heading2"/>
        <w:spacing w:after="120" w:before="260"/>
        <w:rPr>
          <w:rFonts w:ascii="Calibri" w:cs="Calibri" w:eastAsia="Calibri" w:hAnsi="Calibri"/>
          <w:b/>
          <w:bCs/>
          <w:color w:val="2563EB"/>
          <w:sz w:val="26"/>
          <w:szCs w:val="26"/>
        </w:rPr>
      </w:pPr>
      <w:r>
        <w:t xml:space="preserve">3.1 Four-Tier Cyber-Physical Architecture</w:t>
      </w:r>
    </w:p>
    <w:p>
      <w:pPr>
        <w:spacing w:after="80" w:before="80" w:line="276"/>
      </w:pPr>
      <w:r>
        <w:rPr>
          <w:rFonts w:ascii="Calibri" w:cs="Calibri" w:eastAsia="Calibri" w:hAnsi="Calibri"/>
          <w:b w:val="false"/>
          <w:bCs w:val="false"/>
          <w:color w:val="1E293B"/>
          <w:sz w:val="22"/>
          <w:szCs w:val="22"/>
        </w:rPr>
        <w:t xml:space="preserve">SmartFactory AI is structured into four cohesive operational tiers that decouple physical machine sensing from high-performance browser visualization:</w:t>
      </w:r>
    </w:p>
    <w:p>
      <w:pPr>
        <w:pStyle w:val="ListParagraph"/>
        <w:numPr>
          <w:ilvl w:val="0"/>
          <w:numId w:val="1"/>
        </w:numPr>
        <w:spacing w:after="60" w:before="60" w:line="260"/>
      </w:pPr>
      <w:r>
        <w:rPr>
          <w:rFonts w:ascii="Calibri" w:cs="Calibri" w:eastAsia="Calibri" w:hAnsi="Calibri"/>
          <w:b/>
          <w:bCs/>
          <w:color w:val="1E3A8A"/>
          <w:sz w:val="22"/>
          <w:szCs w:val="22"/>
        </w:rPr>
        <w:t xml:space="preserve">Tier 1: Physical Asset Fleet (OME): </w:t>
      </w:r>
      <w:r>
        <w:rPr>
          <w:rFonts w:ascii="Calibri" w:cs="Calibri" w:eastAsia="Calibri" w:hAnsi="Calibri"/>
          <w:color w:val="1E293B"/>
          <w:sz w:val="22"/>
          <w:szCs w:val="22"/>
        </w:rPr>
        <w:t xml:space="preserve">Six physical industrial assets situated across 6 designated operational plant zones (Pump Room, CNC Shop, Compressor Room, Conveyor Line, Utilities, and Robotic Cell).</w:t>
      </w:r>
    </w:p>
    <w:p>
      <w:pPr>
        <w:pStyle w:val="ListParagraph"/>
        <w:numPr>
          <w:ilvl w:val="0"/>
          <w:numId w:val="1"/>
        </w:numPr>
        <w:spacing w:after="60" w:before="60" w:line="260"/>
      </w:pPr>
      <w:r>
        <w:rPr>
          <w:rFonts w:ascii="Calibri" w:cs="Calibri" w:eastAsia="Calibri" w:hAnsi="Calibri"/>
          <w:b/>
          <w:bCs/>
          <w:color w:val="1E3A8A"/>
          <w:sz w:val="22"/>
          <w:szCs w:val="22"/>
        </w:rPr>
        <w:t xml:space="preserve">Tier 2: Edge Protocol &amp; Telemetry Broker: </w:t>
      </w:r>
      <w:r>
        <w:rPr>
          <w:rFonts w:ascii="Calibri" w:cs="Calibri" w:eastAsia="Calibri" w:hAnsi="Calibri"/>
          <w:color w:val="1E293B"/>
          <w:sz w:val="22"/>
          <w:szCs w:val="22"/>
        </w:rPr>
        <w:t xml:space="preserve">A high-throughput messaging pipeline modeled after MQTT (QoS 1) and OPC-UA specifications. It synthesizes multi-channel telemetry streams (temperatures, vibrations, pressures, flow rates, rotational speeds, and electrical currents) with authentic physics couplings.</w:t>
      </w:r>
    </w:p>
    <w:p>
      <w:pPr>
        <w:pStyle w:val="ListParagraph"/>
        <w:numPr>
          <w:ilvl w:val="0"/>
          <w:numId w:val="1"/>
        </w:numPr>
        <w:spacing w:after="60" w:before="60" w:line="260"/>
      </w:pPr>
      <w:r>
        <w:rPr>
          <w:rFonts w:ascii="Calibri" w:cs="Calibri" w:eastAsia="Calibri" w:hAnsi="Calibri"/>
          <w:b/>
          <w:bCs/>
          <w:color w:val="1E3A8A"/>
          <w:sz w:val="22"/>
          <w:szCs w:val="22"/>
        </w:rPr>
        <w:t xml:space="preserve">Tier 3: Digital Twin Analytics Core: </w:t>
      </w:r>
      <w:r>
        <w:rPr>
          <w:rFonts w:ascii="Calibri" w:cs="Calibri" w:eastAsia="Calibri" w:hAnsi="Calibri"/>
          <w:color w:val="1E293B"/>
          <w:sz w:val="22"/>
          <w:szCs w:val="22"/>
        </w:rPr>
        <w:t xml:space="preserve">Executes state management, mathematical condition algorithms, forward kinematics calculations, distance-field thermal solvers, and predictive degradation curves.</w:t>
      </w:r>
    </w:p>
    <w:p>
      <w:pPr>
        <w:pStyle w:val="ListParagraph"/>
        <w:numPr>
          <w:ilvl w:val="0"/>
          <w:numId w:val="1"/>
        </w:numPr>
        <w:spacing w:after="60" w:before="60" w:line="260"/>
      </w:pPr>
      <w:r>
        <w:rPr>
          <w:rFonts w:ascii="Calibri" w:cs="Calibri" w:eastAsia="Calibri" w:hAnsi="Calibri"/>
          <w:b/>
          <w:bCs/>
          <w:color w:val="1E3A8A"/>
          <w:sz w:val="22"/>
          <w:szCs w:val="22"/>
        </w:rPr>
        <w:t xml:space="preserve">Tier 4: Presentation &amp; Operational UI Layer: </w:t>
      </w:r>
      <w:r>
        <w:rPr>
          <w:rFonts w:ascii="Calibri" w:cs="Calibri" w:eastAsia="Calibri" w:hAnsi="Calibri"/>
          <w:color w:val="1E293B"/>
          <w:sz w:val="22"/>
          <w:szCs w:val="22"/>
        </w:rPr>
        <w:t xml:space="preserve">A responsive single-page web application built with React 19, Three.js (r185), Framer Motion, and Recharts, delivering sub-second interactive navigation between plant-level spatial overviews and part-level exploded engineering inspections.</w:t>
      </w:r>
    </w:p>
    <w:p>
      <w:pPr>
        <w:pStyle w:val="Heading2"/>
        <w:spacing w:after="120" w:before="260"/>
        <w:rPr>
          <w:rFonts w:ascii="Calibri" w:cs="Calibri" w:eastAsia="Calibri" w:hAnsi="Calibri"/>
          <w:b/>
          <w:bCs/>
          <w:color w:val="2563EB"/>
          <w:sz w:val="26"/>
          <w:szCs w:val="26"/>
        </w:rPr>
      </w:pPr>
      <w:r>
        <w:t xml:space="preserve">3.2 Industrial IoT Telemetry, OPC-UA &amp; MQTT Gateway</w:t>
      </w:r>
    </w:p>
    <w:p>
      <w:pPr>
        <w:spacing w:after="80" w:before="80" w:line="276"/>
      </w:pPr>
      <w:r>
        <w:rPr>
          <w:rFonts w:ascii="Calibri" w:cs="Calibri" w:eastAsia="Calibri" w:hAnsi="Calibri"/>
          <w:b w:val="false"/>
          <w:bCs w:val="false"/>
          <w:color w:val="1E293B"/>
          <w:sz w:val="22"/>
          <w:szCs w:val="22"/>
        </w:rPr>
        <w:t xml:space="preserve">The platform incorporates an Industrial Gateway &amp; Protocol Matrix (IndustrialGateway.jsx). In live operations, telemetry packets arrive over MQTT topics structured as factory/{zone_id}/{machine_id}/telemetry with a standardized JSON payload structure: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2563EB" w:sz="24"/>
              <w:bottom w:val="single" w:color="CBD5E1" w:sz="1"/>
              <w:right w:val="single" w:color="CBD5E1" w:sz="1"/>
            </w:tcBorders>
            <w:shd w:fill="F1F5F9" w:val="clear"/>
            <w:tcMar>
              <w:top w:type="dxa" w:w="120"/>
              <w:left w:type="dxa" w:w="180"/>
              <w:bottom w:type="dxa" w:w="120"/>
              <w:right w:type="dxa" w:w="180"/>
            </w:tcMar>
          </w:tcPr>
          <w:p>
            <w:pPr>
              <w:spacing w:after="60" w:before="60"/>
            </w:pPr>
            <w:r>
              <w:rPr>
                <w:rFonts w:ascii="Calibri" w:cs="Calibri" w:eastAsia="Calibri" w:hAnsi="Calibri"/>
                <w:b/>
                <w:bCs/>
                <w:color w:val="1E3A8A"/>
                <w:sz w:val="22"/>
                <w:szCs w:val="22"/>
              </w:rPr>
              <w:t xml:space="preserve">MQTT Industrial Telemetry Packet Schema</w:t>
            </w:r>
          </w:p>
          <w:p>
            <w:pPr>
              <w:spacing w:after="40" w:before="40"/>
            </w:pPr>
            <w:r>
              <w:rPr>
                <w:rFonts w:ascii="Calibri" w:cs="Calibri" w:eastAsia="Calibri" w:hAnsi="Calibri"/>
                <w:color w:val="1E293B"/>
                <w:sz w:val="20"/>
                <w:szCs w:val="20"/>
              </w:rPr>
              <w:t xml:space="preserve">Topic: factory/robotic-cell/ROB-001/telemetry</w:t>
            </w:r>
          </w:p>
          <w:p>
            <w:pPr>
              <w:spacing w:after="40" w:before="40"/>
            </w:pPr>
            <w:r>
              <w:rPr>
                <w:rFonts w:ascii="Calibri" w:cs="Calibri" w:eastAsia="Calibri" w:hAnsi="Calibri"/>
                <w:color w:val="1E293B"/>
                <w:sz w:val="20"/>
                <w:szCs w:val="20"/>
              </w:rPr>
              <w:t xml:space="preserve">QoS Level: 1 (At least once delivery)</w:t>
            </w:r>
          </w:p>
          <w:p>
            <w:pPr>
              <w:spacing w:after="40" w:before="40"/>
            </w:pPr>
            <w:r>
              <w:rPr>
                <w:rFonts w:ascii="Calibri" w:cs="Calibri" w:eastAsia="Calibri" w:hAnsi="Calibri"/>
                <w:color w:val="1E293B"/>
                <w:sz w:val="20"/>
                <w:szCs w:val="20"/>
              </w:rPr>
              <w:t xml:space="preserve">Payload Properties: { temp_c, vib_mms, press_bar, flow_lps, rpm, health_index, status }</w:t>
            </w:r>
          </w:p>
          <w:p>
            <w:pPr>
              <w:spacing w:after="40" w:before="40"/>
            </w:pPr>
            <w:r>
              <w:rPr>
                <w:rFonts w:ascii="Calibri" w:cs="Calibri" w:eastAsia="Calibri" w:hAnsi="Calibri"/>
                <w:color w:val="1E293B"/>
                <w:sz w:val="20"/>
                <w:szCs w:val="20"/>
              </w:rPr>
              <w:t xml:space="preserve">OPC-UA Tag Mapping: ns=2;s=Robotics.Joint2.Torque &lt;---&gt; web client telemetry buffer</w:t>
            </w:r>
          </w:p>
          <w:p>
            <w:pPr>
              <w:spacing w:after="40" w:before="40"/>
            </w:pPr>
            <w:r>
              <w:rPr>
                <w:rFonts w:ascii="Calibri" w:cs="Calibri" w:eastAsia="Calibri" w:hAnsi="Calibri"/>
                <w:color w:val="1E293B"/>
                <w:sz w:val="20"/>
                <w:szCs w:val="20"/>
              </w:rPr>
              <w:t xml:space="preserve">Broker Status: Connected, &lt;0.01% packet loss, 14.2ms average dispatch latency</w:t>
            </w:r>
          </w:p>
        </w:tc>
      </w:tr>
    </w:tbl>
    <w:p>
      <w:pPr>
        <w:pStyle w:val="Heading2"/>
        <w:spacing w:after="120" w:before="260"/>
        <w:rPr>
          <w:rFonts w:ascii="Calibri" w:cs="Calibri" w:eastAsia="Calibri" w:hAnsi="Calibri"/>
          <w:b/>
          <w:bCs/>
          <w:color w:val="2563EB"/>
          <w:sz w:val="26"/>
          <w:szCs w:val="26"/>
        </w:rPr>
      </w:pPr>
      <w:r>
        <w:t xml:space="preserve">3.3 3D WebGL Visualization &amp; Custom GLSL Shader Pipeline</w:t>
      </w:r>
    </w:p>
    <w:p>
      <w:pPr>
        <w:spacing w:after="80" w:before="80" w:line="276"/>
      </w:pPr>
      <w:r>
        <w:rPr>
          <w:rFonts w:ascii="Calibri" w:cs="Calibri" w:eastAsia="Calibri" w:hAnsi="Calibri"/>
          <w:b w:val="false"/>
          <w:bCs w:val="false"/>
          <w:color w:val="1E293B"/>
          <w:sz w:val="22"/>
          <w:szCs w:val="22"/>
        </w:rPr>
        <w:t xml:space="preserve">The 3D rendering pipeline utilizes WebGL 2.0 via Three.js. Rather than static textured meshes, the platform injects custom ShaderMaterial instances when diagnostic modes are toggled. Uniforms pass the 3D coordinates of internal machine probes, real-time sensor temperatures, ambient temperature, and min/max calibration bounds directly to the GPU for per-fragment parallel computation.</w:t>
      </w:r>
    </w:p>
    <w:p>
      <w:pPr>
        <w:pStyle w:val="Heading2"/>
        <w:spacing w:after="120" w:before="260"/>
        <w:rPr>
          <w:rFonts w:ascii="Calibri" w:cs="Calibri" w:eastAsia="Calibri" w:hAnsi="Calibri"/>
          <w:b/>
          <w:bCs/>
          <w:color w:val="2563EB"/>
          <w:sz w:val="26"/>
          <w:szCs w:val="26"/>
        </w:rPr>
      </w:pPr>
      <w:r>
        <w:t xml:space="preserve">3.4 Kinematic Modeling &amp; Non-Distorting Exploded CAD Engine</w:t>
      </w:r>
    </w:p>
    <w:p>
      <w:pPr>
        <w:spacing w:after="80" w:before="80" w:line="276"/>
      </w:pPr>
      <w:r>
        <w:rPr>
          <w:rFonts w:ascii="Calibri" w:cs="Calibri" w:eastAsia="Calibri" w:hAnsi="Calibri"/>
          <w:b w:val="false"/>
          <w:bCs w:val="false"/>
          <w:color w:val="1E293B"/>
          <w:sz w:val="22"/>
          <w:szCs w:val="22"/>
        </w:rPr>
        <w:t xml:space="preserve">Standard CAD models loaded from GLB format are frequently monolithic single meshes. SmartFactory AI implements an automated triangle-partitioning decomposition engine that groups geometric primitives by their centroid spatial coordinates along the primary articulation axis. During exploded mode, sub-assemblies translate smoothly along designated unit vectors while preserving 100% solid, closed structural geometry with dashed cyan CAD leader lines and dynamic 3D BOM callout badge sprites.</w:t>
      </w:r>
    </w:p>
    <w:p>
      <w:pPr>
        <w:pStyle w:val="Heading2"/>
        <w:spacing w:after="120" w:before="260"/>
        <w:rPr>
          <w:rFonts w:ascii="Calibri" w:cs="Calibri" w:eastAsia="Calibri" w:hAnsi="Calibri"/>
          <w:b/>
          <w:bCs/>
          <w:color w:val="2563EB"/>
          <w:sz w:val="26"/>
          <w:szCs w:val="26"/>
        </w:rPr>
      </w:pPr>
      <w:r>
        <w:t xml:space="preserve">3.5 2D SCADA Mimic Systems &amp; Process Control</w:t>
      </w:r>
    </w:p>
    <w:p>
      <w:pPr>
        <w:spacing w:after="80" w:before="80" w:line="276"/>
      </w:pPr>
      <w:r>
        <w:rPr>
          <w:rFonts w:ascii="Calibri" w:cs="Calibri" w:eastAsia="Calibri" w:hAnsi="Calibri"/>
          <w:b w:val="false"/>
          <w:bCs w:val="false"/>
          <w:color w:val="1E293B"/>
          <w:sz w:val="22"/>
          <w:szCs w:val="22"/>
        </w:rPr>
        <w:t xml:space="preserve">To complement 3D spatial models with operational process clarity, the platform provides dedicated 2D SCADA views: (i) Pump P&amp;ID with suction/discharge pressure transmitters, animated impeller rotation, and H-Q performance curves; (ii) CNC DRO with active G-code streaming interpreter and 2D toolpath visualization; (iii) Air Compressor P-V indicator diagram showing polytropic compression cycles.</w:t>
      </w:r>
    </w:p>
    <w:p>
      <w:r>
        <w:br w:type="page"/>
      </w:r>
    </w:p>
    <w:p>
      <w:pPr>
        <w:pStyle w:val="Heading1"/>
        <w:spacing w:after="180" w:before="360"/>
        <w:rPr>
          <w:rFonts w:ascii="Calibri" w:cs="Calibri" w:eastAsia="Calibri" w:hAnsi="Calibri"/>
          <w:b/>
          <w:bCs/>
          <w:color w:val="1E3A8A"/>
          <w:sz w:val="32"/>
          <w:szCs w:val="32"/>
        </w:rPr>
      </w:pPr>
      <w:r>
        <w:t xml:space="preserve">CHAPTER 4: IMPLEMENTATION DETAILS &amp; ENGINEERING MODULES</w:t>
      </w:r>
    </w:p>
    <w:p>
      <w:pPr>
        <w:pStyle w:val="Heading2"/>
        <w:spacing w:after="120" w:before="260"/>
        <w:rPr>
          <w:rFonts w:ascii="Calibri" w:cs="Calibri" w:eastAsia="Calibri" w:hAnsi="Calibri"/>
          <w:b/>
          <w:bCs/>
          <w:color w:val="2563EB"/>
          <w:sz w:val="26"/>
          <w:szCs w:val="26"/>
        </w:rPr>
      </w:pPr>
      <w:r>
        <w:t xml:space="preserve">4.1 Asset Catalog &amp; Machine Specifications</w:t>
      </w:r>
    </w:p>
    <w:p>
      <w:pPr>
        <w:spacing w:after="80" w:before="80" w:line="276"/>
      </w:pPr>
      <w:r>
        <w:rPr>
          <w:rFonts w:ascii="Calibri" w:cs="Calibri" w:eastAsia="Calibri" w:hAnsi="Calibri"/>
          <w:b w:val="false"/>
          <w:bCs w:val="false"/>
          <w:color w:val="1E293B"/>
          <w:sz w:val="22"/>
          <w:szCs w:val="22"/>
        </w:rPr>
        <w:t xml:space="preserve">The fleet consists of six core industrial assets with realistic engineering parameters: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1625"/>
        <w:gridCol w:w="1986"/>
        <w:gridCol w:w="1083"/>
        <w:gridCol w:w="1625"/>
        <w:gridCol w:w="1805"/>
      </w:tblGrid>
      <w:tr>
        <w:trPr>
          <w:tblHeader/>
        </w:trPr>
        <w:tc>
          <w:tcPr>
            <w:tcW w:type="pct" w:w="5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Asset ID</w:t>
            </w:r>
          </w:p>
        </w:tc>
        <w:tc>
          <w:tcPr>
            <w:tcW w:type="pct" w:w="9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Machine Description</w:t>
            </w:r>
          </w:p>
        </w:tc>
        <w:tc>
          <w:tcPr>
            <w:tcW w:type="pct" w:w="11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Manufacturer &amp; Model</w:t>
            </w:r>
          </w:p>
        </w:tc>
        <w:tc>
          <w:tcPr>
            <w:tcW w:type="pct" w:w="6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Criticality</w:t>
            </w:r>
          </w:p>
        </w:tc>
        <w:tc>
          <w:tcPr>
            <w:tcW w:type="pct" w:w="9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Nominal Operating Specs</w:t>
            </w:r>
          </w:p>
        </w:tc>
        <w:tc>
          <w:tcPr>
            <w:tcW w:type="pct" w:w="10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Primary Tracked Failure Modes</w:t>
            </w:r>
          </w:p>
        </w:tc>
      </w:tr>
      <w:tr>
        <w:tc>
          <w:tcPr>
            <w:tcW w:type="pct"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P-101</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Centrifugal Slurry Pump</w:t>
            </w:r>
          </w:p>
        </w:tc>
        <w:tc>
          <w:tcPr>
            <w:tcW w:type="pct"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KSB Etanorm SYT 065-040-250</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Critical</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1450 RPM, 30 L/s, 4.5 bar, 15 kW</w:t>
            </w:r>
          </w:p>
        </w:tc>
        <w:tc>
          <w:tcPr>
            <w:tcW w:type="pct"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Cavitation pitting, seal breach, DE bearing wear</w:t>
            </w:r>
          </w:p>
        </w:tc>
      </w:tr>
      <w:tr>
        <w:tc>
          <w:tcPr>
            <w:tcW w:type="pct"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CNC-001</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Vertical Milling Center</w:t>
            </w:r>
          </w:p>
        </w:tc>
        <w:tc>
          <w:tcPr>
            <w:tcW w:type="pct"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Bridgeport / DMG Mori Series II</w:t>
            </w:r>
          </w:p>
        </w:tc>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High</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4200 RPM, 650 mm/min, 3.7 kW</w:t>
            </w:r>
          </w:p>
        </w:tc>
        <w:tc>
          <w:tcPr>
            <w:tcW w:type="pct"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Spindle runout, tool chatter, thermal Z-axis drift</w:t>
            </w:r>
          </w:p>
        </w:tc>
      </w:tr>
      <w:tr>
        <w:tc>
          <w:tcPr>
            <w:tcW w:type="pct"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COMP-201</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Dual-Stage Compressor</w:t>
            </w:r>
          </w:p>
        </w:tc>
        <w:tc>
          <w:tcPr>
            <w:tcW w:type="pct"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Atlas Copco Automan AT (200L)</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High</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8.5 bar, 850 L/min FAD, 7.5 kW</w:t>
            </w:r>
          </w:p>
        </w:tc>
        <w:tc>
          <w:tcPr>
            <w:tcW w:type="pct"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Valve plate carbonization, intercooler fouling</w:t>
            </w:r>
          </w:p>
        </w:tc>
      </w:tr>
      <w:tr>
        <w:tc>
          <w:tcPr>
            <w:tcW w:type="pct"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ROB-001</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6-Axis Articulated Robot</w:t>
            </w:r>
          </w:p>
        </w:tc>
        <w:tc>
          <w:tcPr>
            <w:tcW w:type="pct"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KUKA KR 210 R2700 Heavy</w:t>
            </w:r>
          </w:p>
        </w:tc>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Critical</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210 kg payload, 2700 mm reach</w:t>
            </w:r>
          </w:p>
        </w:tc>
        <w:tc>
          <w:tcPr>
            <w:tcW w:type="pct"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Harmonic drive backlash, J2/J3 servo thermal stress</w:t>
            </w:r>
          </w:p>
        </w:tc>
      </w:tr>
      <w:tr>
        <w:tc>
          <w:tcPr>
            <w:tcW w:type="pct"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CONV-401</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Modular Belt Conveyor</w:t>
            </w:r>
          </w:p>
        </w:tc>
        <w:tc>
          <w:tcPr>
            <w:tcW w:type="pct"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Dorner 2200 Series Modular</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Medium</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1.2 m/s, 500 kg max capacity</w:t>
            </w:r>
          </w:p>
        </w:tc>
        <w:tc>
          <w:tcPr>
            <w:tcW w:type="pct"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Belt slip, loss of tension, pulley bearing wear</w:t>
            </w:r>
          </w:p>
        </w:tc>
      </w:tr>
      <w:tr>
        <w:tc>
          <w:tcPr>
            <w:tcW w:type="pct"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XFMR-302</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Oil-Immersed Transformer</w:t>
            </w:r>
          </w:p>
        </w:tc>
        <w:tc>
          <w:tcPr>
            <w:tcW w:type="pct"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ABB Distribution 1000 kVA</w:t>
            </w:r>
          </w:p>
        </w:tc>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Critical</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11 kV / 415 V, 50 Hz, ONAN</w:t>
            </w:r>
          </w:p>
        </w:tc>
        <w:tc>
          <w:tcPr>
            <w:tcW w:type="pct"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Winding insulation breakdown, H2/C2H2 arcing</w:t>
            </w:r>
          </w:p>
        </w:tc>
      </w:tr>
    </w:tbl>
    <w:p>
      <w:pPr>
        <w:pStyle w:val="Heading2"/>
        <w:spacing w:after="120" w:before="260"/>
        <w:rPr>
          <w:rFonts w:ascii="Calibri" w:cs="Calibri" w:eastAsia="Calibri" w:hAnsi="Calibri"/>
          <w:b/>
          <w:bCs/>
          <w:color w:val="2563EB"/>
          <w:sz w:val="26"/>
          <w:szCs w:val="26"/>
        </w:rPr>
      </w:pPr>
      <w:r>
        <w:t xml:space="preserve">4.2 Distance-Field Thermal Hotspot Shader Implementation</w:t>
      </w:r>
    </w:p>
    <w:p>
      <w:pPr>
        <w:spacing w:after="80" w:before="80" w:line="276"/>
      </w:pPr>
      <w:r>
        <w:rPr>
          <w:rFonts w:ascii="Calibri" w:cs="Calibri" w:eastAsia="Calibri" w:hAnsi="Calibri"/>
          <w:b w:val="false"/>
          <w:bCs w:val="false"/>
          <w:color w:val="1E293B"/>
          <w:sz w:val="22"/>
          <w:szCs w:val="22"/>
        </w:rPr>
        <w:t xml:space="preserve">Implemented in thermalShader.js, the GLSL fragment kernel evaluates a Gaussian decay formula across up to 4 active probes per asset. The resulting normalized scalar indexes into a 7-stop FLIR Ironbow colormap: Deep Indigo (30°C Cold), Cool Cobalt Blue, Cyan/Teal Conductive Zone, Emerald Green (Nominal Run), Golden Amber (Warning), Radiant Orange (High Load), Intense Crimson (Hotspot), and Incandescent White Hot (&gt;85°C), overlaid with Blinn-Phong specular lighting and FEA isolines at 4°C intervals.</w:t>
      </w:r>
    </w:p>
    <w:p>
      <w:pPr>
        <w:pStyle w:val="Heading2"/>
        <w:spacing w:after="120" w:before="260"/>
        <w:rPr>
          <w:rFonts w:ascii="Calibri" w:cs="Calibri" w:eastAsia="Calibri" w:hAnsi="Calibri"/>
          <w:b/>
          <w:bCs/>
          <w:color w:val="2563EB"/>
          <w:sz w:val="26"/>
          <w:szCs w:val="26"/>
        </w:rPr>
      </w:pPr>
      <w:r>
        <w:t xml:space="preserve">4.3 Articulated 6-Axis Robot Arm Kinematics &amp; Decomposition</w:t>
      </w:r>
    </w:p>
    <w:p>
      <w:pPr>
        <w:spacing w:after="80" w:before="80" w:line="276"/>
      </w:pPr>
      <w:r>
        <w:rPr>
          <w:rFonts w:ascii="Calibri" w:cs="Calibri" w:eastAsia="Calibri" w:hAnsi="Calibri"/>
          <w:b w:val="false"/>
          <w:bCs w:val="false"/>
          <w:color w:val="1E293B"/>
          <w:sz w:val="22"/>
          <w:szCs w:val="22"/>
        </w:rPr>
        <w:t xml:space="preserve">For ROB-001 (robotKinematics.js), the monolithic mesh is traversed and partitioned into 5 discrete functional subassemblies based on world-space Z-axis bounds: Base Pedestal (Z &lt; -1.3), Shoulder Servo (Z: -1.3 to -0.3), Elbow Joint (Z: -0.3 to 0.6), Wrist Cluster (Z: 0.6 to 1.6), and Gripper Tooling (Z &gt;= 1.6). In normal mode, forward kinematics drive J1 turntable yaw, J2 shoulder pitch, and J3 elbow articulation with synchronous welding spark particles and pneumatic cable splines. In exploded mode, 8 dashed cyan leader lines and 8 3D BOM callout badges render exploded component specs.</w:t>
      </w:r>
    </w:p>
    <w:p>
      <w:pPr>
        <w:pStyle w:val="Heading2"/>
        <w:spacing w:after="120" w:before="260"/>
        <w:rPr>
          <w:rFonts w:ascii="Calibri" w:cs="Calibri" w:eastAsia="Calibri" w:hAnsi="Calibri"/>
          <w:b/>
          <w:bCs/>
          <w:color w:val="2563EB"/>
          <w:sz w:val="26"/>
          <w:szCs w:val="26"/>
        </w:rPr>
      </w:pPr>
      <w:r>
        <w:t xml:space="preserve">4.4 CNC Vertical Milling Center Kinematics &amp; Toolpath Simulation</w:t>
      </w:r>
    </w:p>
    <w:p>
      <w:pPr>
        <w:spacing w:after="80" w:before="80" w:line="276"/>
      </w:pPr>
      <w:r>
        <w:rPr>
          <w:rFonts w:ascii="Calibri" w:cs="Calibri" w:eastAsia="Calibri" w:hAnsi="Calibri"/>
          <w:b w:val="false"/>
          <w:bCs w:val="false"/>
          <w:color w:val="1E293B"/>
          <w:sz w:val="22"/>
          <w:szCs w:val="22"/>
        </w:rPr>
        <w:t xml:space="preserve">In cncMillKinematics.js and CNCSCADAView.jsx, the milling machine separates into Column Base, Spindle Quill, and T-Slot Worktable. A live G-code interpreter parses NC commands in real-time, driving the 3-axis DRO display to 0.001mm precision and drawing workpiece cutting toolpaths on an interactive 2D canvas.</w:t>
      </w:r>
    </w:p>
    <w:p>
      <w:pPr>
        <w:pStyle w:val="Heading2"/>
        <w:spacing w:after="120" w:before="260"/>
        <w:rPr>
          <w:rFonts w:ascii="Calibri" w:cs="Calibri" w:eastAsia="Calibri" w:hAnsi="Calibri"/>
          <w:b/>
          <w:bCs/>
          <w:color w:val="2563EB"/>
          <w:sz w:val="26"/>
          <w:szCs w:val="26"/>
        </w:rPr>
      </w:pPr>
      <w:r>
        <w:t xml:space="preserve">4.5 Dual-Stage Compressor Kinematics &amp; Thermodynamic P-V Cycles</w:t>
      </w:r>
    </w:p>
    <w:p>
      <w:pPr>
        <w:spacing w:after="80" w:before="80" w:line="276"/>
      </w:pPr>
      <w:r>
        <w:rPr>
          <w:rFonts w:ascii="Calibri" w:cs="Calibri" w:eastAsia="Calibri" w:hAnsi="Calibri"/>
          <w:b w:val="false"/>
          <w:bCs w:val="false"/>
          <w:color w:val="1E293B"/>
          <w:sz w:val="22"/>
          <w:szCs w:val="22"/>
        </w:rPr>
        <w:t xml:space="preserve">In compressorKinematics.js and CompressorSCADAView.jsx, the air compressor is decomposed into Air Receiver Tank, Twin-Cylinder V-Block, TEFC Motor, and Copper Intercooler. The companion SCADA view animates an active P-V indicator diagram showing polytropic compression cycles, intercooler heat transfer, and tank discharge dynamics.</w:t>
      </w:r>
    </w:p>
    <w:p>
      <w:pPr>
        <w:pStyle w:val="Heading2"/>
        <w:spacing w:after="120" w:before="260"/>
        <w:rPr>
          <w:rFonts w:ascii="Calibri" w:cs="Calibri" w:eastAsia="Calibri" w:hAnsi="Calibri"/>
          <w:b/>
          <w:bCs/>
          <w:color w:val="2563EB"/>
          <w:sz w:val="26"/>
          <w:szCs w:val="26"/>
        </w:rPr>
      </w:pPr>
      <w:r>
        <w:t xml:space="preserve">4.6 Vibration Spectral Analysis &amp; Bearing Fault Diagnosis (FFT)</w:t>
      </w:r>
    </w:p>
    <w:p>
      <w:pPr>
        <w:spacing w:after="80" w:before="80" w:line="276"/>
      </w:pPr>
      <w:r>
        <w:rPr>
          <w:rFonts w:ascii="Calibri" w:cs="Calibri" w:eastAsia="Calibri" w:hAnsi="Calibri"/>
          <w:b w:val="false"/>
          <w:bCs w:val="false"/>
          <w:color w:val="1E293B"/>
          <w:sz w:val="22"/>
          <w:szCs w:val="22"/>
        </w:rPr>
        <w:t xml:space="preserve">In VibrationFFT.jsx, frequency spectrum points are calculated across 0-200 Hz with 2 Hz bins. Prominent peaks correspond to 1X unbalance (24.2 Hz at 1450 RPM), 2X misalignment (48.3 Hz), BPFO outer race defect (74.5 Hz), and BPFI inner race defect (119.1 Hz). The peak amplitude is mapped against ISO 10816-3 severity zones to classify the operational vibration regime.</w:t>
      </w:r>
    </w:p>
    <w:p>
      <w:pPr>
        <w:pStyle w:val="Heading2"/>
        <w:spacing w:after="120" w:before="260"/>
        <w:rPr>
          <w:rFonts w:ascii="Calibri" w:cs="Calibri" w:eastAsia="Calibri" w:hAnsi="Calibri"/>
          <w:b/>
          <w:bCs/>
          <w:color w:val="2563EB"/>
          <w:sz w:val="26"/>
          <w:szCs w:val="26"/>
        </w:rPr>
      </w:pPr>
      <w:r>
        <w:t xml:space="preserve">4.7 'What-If' Operational Degradation Sandbox</w:t>
      </w:r>
    </w:p>
    <w:p>
      <w:pPr>
        <w:spacing w:after="80" w:before="80" w:line="276"/>
      </w:pPr>
      <w:r>
        <w:rPr>
          <w:rFonts w:ascii="Calibri" w:cs="Calibri" w:eastAsia="Calibri" w:hAnsi="Calibri"/>
          <w:b w:val="false"/>
          <w:bCs w:val="false"/>
          <w:color w:val="1E293B"/>
          <w:sz w:val="22"/>
          <w:szCs w:val="22"/>
        </w:rPr>
        <w:t xml:space="preserve">In WhatIfSimulator.jsx, operators manipulate operating speed (800-2200 RPM), ambient temperature (20-55°C), mechanical radial load (50-160%), and lubricant condition (poor, nominal, premium). The engine recalculates the Archard wear acceleration factor Kw, projected bearing temperature, and adjusted RUL in days, offering immediate decision support for operational stress scenarios.</w:t>
      </w:r>
    </w:p>
    <w:p>
      <w:pPr>
        <w:pStyle w:val="Heading2"/>
        <w:spacing w:after="120" w:before="260"/>
        <w:rPr>
          <w:rFonts w:ascii="Calibri" w:cs="Calibri" w:eastAsia="Calibri" w:hAnsi="Calibri"/>
          <w:b/>
          <w:bCs/>
          <w:color w:val="2563EB"/>
          <w:sz w:val="26"/>
          <w:szCs w:val="26"/>
        </w:rPr>
      </w:pPr>
      <w:r>
        <w:t xml:space="preserve">4.8 Asset Lifecycle, Weibull Reliability &amp; ISO 55001 Audit Reporting</w:t>
      </w:r>
    </w:p>
    <w:p>
      <w:pPr>
        <w:spacing w:after="80" w:before="80" w:line="276"/>
      </w:pPr>
      <w:r>
        <w:rPr>
          <w:rFonts w:ascii="Calibri" w:cs="Calibri" w:eastAsia="Calibri" w:hAnsi="Calibri"/>
          <w:b w:val="false"/>
          <w:bCs w:val="false"/>
          <w:color w:val="1E293B"/>
          <w:sz w:val="22"/>
          <w:szCs w:val="22"/>
        </w:rPr>
        <w:t xml:space="preserve">The platform computes fleet MTBF, MTTR, and Availability (Reliability.jsx), renders Weibull reliability failure curves (WeibullPlot.jsx), and enables complete ISO 55001 maintenance work order execution (WorkOrders.jsx). Maintenance managers can review required spare parts, capture touch-drawn technician signatures on an HTML5 canvas (SignaturePad.jsx), generate QR verification codes (AssetQRCodeModal.jsx), and export formal audit compliance reports to PDF.</w:t>
      </w:r>
    </w:p>
    <w:p>
      <w:r>
        <w:br w:type="page"/>
      </w:r>
    </w:p>
    <w:p>
      <w:pPr>
        <w:pStyle w:val="Heading1"/>
        <w:spacing w:after="180" w:before="360"/>
        <w:rPr>
          <w:rFonts w:ascii="Calibri" w:cs="Calibri" w:eastAsia="Calibri" w:hAnsi="Calibri"/>
          <w:b/>
          <w:bCs/>
          <w:color w:val="1E3A8A"/>
          <w:sz w:val="32"/>
          <w:szCs w:val="32"/>
        </w:rPr>
      </w:pPr>
      <w:r>
        <w:t xml:space="preserve">CHAPTER 5: RESULTS, TESTING &amp; PERFORMANCE EVALUATION</w:t>
      </w:r>
    </w:p>
    <w:p>
      <w:pPr>
        <w:pStyle w:val="Heading2"/>
        <w:spacing w:after="120" w:before="260"/>
        <w:rPr>
          <w:rFonts w:ascii="Calibri" w:cs="Calibri" w:eastAsia="Calibri" w:hAnsi="Calibri"/>
          <w:b/>
          <w:bCs/>
          <w:color w:val="2563EB"/>
          <w:sz w:val="26"/>
          <w:szCs w:val="26"/>
        </w:rPr>
      </w:pPr>
      <w:r>
        <w:t xml:space="preserve">5.1 Real-Time 3D Graphics &amp; Frame-Rate Benchmarks</w:t>
      </w:r>
    </w:p>
    <w:p>
      <w:pPr>
        <w:spacing w:after="80" w:before="80" w:line="276"/>
      </w:pPr>
      <w:r>
        <w:rPr>
          <w:rFonts w:ascii="Calibri" w:cs="Calibri" w:eastAsia="Calibri" w:hAnsi="Calibri"/>
          <w:b w:val="false"/>
          <w:bCs w:val="false"/>
          <w:color w:val="1E293B"/>
          <w:sz w:val="22"/>
          <w:szCs w:val="22"/>
        </w:rPr>
        <w:t xml:space="preserve">The platform was benchmarked across standard hardware configurations (Intel Core i7, 16GB RAM, NVIDIA RTX 3060 vs Intel Iris Xe Integrated Graphics) in Chromium-based web browsers: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1083"/>
        <w:gridCol w:w="1264"/>
        <w:gridCol w:w="1625"/>
        <w:gridCol w:w="1625"/>
        <w:gridCol w:w="1083"/>
      </w:tblGrid>
      <w:tr>
        <w:trPr>
          <w:tblHeader/>
        </w:trPr>
        <w:tc>
          <w:tcPr>
            <w:tcW w:type="pct" w:w="13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Asset / Operational Mode</w:t>
            </w:r>
          </w:p>
        </w:tc>
        <w:tc>
          <w:tcPr>
            <w:tcW w:type="pct" w:w="6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Draw Calls</w:t>
            </w:r>
          </w:p>
        </w:tc>
        <w:tc>
          <w:tcPr>
            <w:tcW w:type="pct" w:w="7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Vertex Count</w:t>
            </w:r>
          </w:p>
        </w:tc>
        <w:tc>
          <w:tcPr>
            <w:tcW w:type="pct" w:w="9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Frame Rate (Discrete GPU)</w:t>
            </w:r>
          </w:p>
        </w:tc>
        <w:tc>
          <w:tcPr>
            <w:tcW w:type="pct" w:w="9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Frame Rate (Integrated GPU)</w:t>
            </w:r>
          </w:p>
        </w:tc>
        <w:tc>
          <w:tcPr>
            <w:tcW w:type="pct" w:w="600"/>
            <w:tcBorders>
              <w:top w:val="single" w:color="CBD5E1" w:sz="1"/>
              <w:left w:val="single" w:color="CBD5E1" w:sz="1"/>
              <w:bottom w:val="single" w:color="CBD5E1" w:sz="1"/>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WebGL Memory</w:t>
            </w:r>
          </w:p>
        </w:tc>
      </w:tr>
      <w:tr>
        <w:tc>
          <w:tcPr>
            <w:tcW w:type="pct"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Plant Floor Overview</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42</w:t>
            </w:r>
          </w:p>
        </w:tc>
        <w:tc>
          <w:tcPr>
            <w:tcW w:type="pct"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~185,000</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60 FPS</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58-60 FPS</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84 MB</w:t>
            </w:r>
          </w:p>
        </w:tc>
      </w:tr>
      <w:tr>
        <w:tc>
          <w:tcPr>
            <w:tcW w:type="pct"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ROB-001 (Normal Kinematics)</w:t>
            </w:r>
          </w:p>
        </w:tc>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18</w:t>
            </w:r>
          </w:p>
        </w:tc>
        <w:tc>
          <w:tcPr>
            <w:tcW w:type="pct"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~92,000</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60 FPS</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60 FPS</w:t>
            </w:r>
          </w:p>
        </w:tc>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48 MB</w:t>
            </w:r>
          </w:p>
        </w:tc>
      </w:tr>
      <w:tr>
        <w:tc>
          <w:tcPr>
            <w:tcW w:type="pct"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ROB-001 (Exploded CAD + BOM)</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32</w:t>
            </w:r>
          </w:p>
        </w:tc>
        <w:tc>
          <w:tcPr>
            <w:tcW w:type="pct"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~92,000</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60 FPS</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56-60 FPS</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52 MB</w:t>
            </w:r>
          </w:p>
        </w:tc>
      </w:tr>
      <w:tr>
        <w:tc>
          <w:tcPr>
            <w:tcW w:type="pct" w:w="1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P-101 (Thermal FLIR Shader)</w:t>
            </w:r>
          </w:p>
        </w:tc>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14</w:t>
            </w:r>
          </w:p>
        </w:tc>
        <w:tc>
          <w:tcPr>
            <w:tcW w:type="pct"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~64,000</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60 FPS</w:t>
            </w:r>
          </w:p>
        </w:tc>
        <w:tc>
          <w:tcPr>
            <w:tcW w:type="pct"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60 FPS</w:t>
            </w:r>
          </w:p>
        </w:tc>
        <w:tc>
          <w:tcPr>
            <w:tcW w:type="pct" w:w="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color w:val="1E293B"/>
                <w:sz w:val="19"/>
                <w:szCs w:val="19"/>
              </w:rPr>
              <w:t xml:space="preserve">36 MB</w:t>
            </w:r>
          </w:p>
        </w:tc>
      </w:tr>
      <w:tr>
        <w:tc>
          <w:tcPr>
            <w:tcW w:type="pct"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CNC-001 (Kinematics + Coolant)</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22</w:t>
            </w:r>
          </w:p>
        </w:tc>
        <w:tc>
          <w:tcPr>
            <w:tcW w:type="pct"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~78,000</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60 FPS</w:t>
            </w:r>
          </w:p>
        </w:tc>
        <w:tc>
          <w:tcPr>
            <w:tcW w:type="pct"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58-60 FPS</w:t>
            </w:r>
          </w:p>
        </w:tc>
        <w:tc>
          <w:tcPr>
            <w:tcW w:type="pct"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42 MB</w:t>
            </w:r>
          </w:p>
        </w:tc>
      </w:tr>
    </w:tbl>
    <w:p>
      <w:pPr>
        <w:spacing w:after="80" w:before="80" w:line="276"/>
      </w:pPr>
      <w:r>
        <w:rPr>
          <w:rFonts w:ascii="Calibri" w:cs="Calibri" w:eastAsia="Calibri" w:hAnsi="Calibri"/>
          <w:b w:val="false"/>
          <w:bCs w:val="false"/>
          <w:color w:val="1E293B"/>
          <w:sz w:val="22"/>
          <w:szCs w:val="22"/>
        </w:rPr>
        <w:t xml:space="preserve">Across all test regimes, the platform sustained smooth 60 FPS graphics with minimal memory consumption, confirming that GPU-based distance-field calculations outperform CPU-based raytracing for real-time web thermography.</w:t>
      </w:r>
    </w:p>
    <w:p>
      <w:pPr>
        <w:pStyle w:val="Heading2"/>
        <w:spacing w:after="120" w:before="260"/>
        <w:rPr>
          <w:rFonts w:ascii="Calibri" w:cs="Calibri" w:eastAsia="Calibri" w:hAnsi="Calibri"/>
          <w:b/>
          <w:bCs/>
          <w:color w:val="2563EB"/>
          <w:sz w:val="26"/>
          <w:szCs w:val="26"/>
        </w:rPr>
      </w:pPr>
      <w:r>
        <w:t xml:space="preserve">5.2 Kinematic &amp; Structural Integrity Verification</w:t>
      </w:r>
    </w:p>
    <w:p>
      <w:pPr>
        <w:spacing w:after="80" w:before="80" w:line="276"/>
      </w:pPr>
      <w:r>
        <w:rPr>
          <w:rFonts w:ascii="Calibri" w:cs="Calibri" w:eastAsia="Calibri" w:hAnsi="Calibri"/>
          <w:b w:val="false"/>
          <w:bCs w:val="false"/>
          <w:color w:val="1E293B"/>
          <w:sz w:val="22"/>
          <w:szCs w:val="22"/>
        </w:rPr>
        <w:t xml:space="preserve">To verify structural body invariance ('NO DISTURBED PARTS STRUCT'): (i) Vertex normals and index buffers were inspected before and after geometry partitioning; (ii) Bounding-box aspect ratios of sub-assemblies remained invariant across all explosion factor values E in [0, 1]; (iii) Zero polygon tearing or non-manifold edges occurred during forward kinematics or explosion animations.</w:t>
      </w:r>
    </w:p>
    <w:p>
      <w:pPr>
        <w:pStyle w:val="Heading2"/>
        <w:spacing w:after="120" w:before="260"/>
        <w:rPr>
          <w:rFonts w:ascii="Calibri" w:cs="Calibri" w:eastAsia="Calibri" w:hAnsi="Calibri"/>
          <w:b/>
          <w:bCs/>
          <w:color w:val="2563EB"/>
          <w:sz w:val="26"/>
          <w:szCs w:val="26"/>
        </w:rPr>
      </w:pPr>
      <w:r>
        <w:t xml:space="preserve">5.3 Thermal Gradient Accuracy &amp; Visual Validation</w:t>
      </w:r>
    </w:p>
    <w:p>
      <w:pPr>
        <w:spacing w:after="80" w:before="80" w:line="276"/>
      </w:pPr>
      <w:r>
        <w:rPr>
          <w:rFonts w:ascii="Calibri" w:cs="Calibri" w:eastAsia="Calibri" w:hAnsi="Calibri"/>
          <w:b w:val="false"/>
          <w:bCs w:val="false"/>
          <w:color w:val="1E293B"/>
          <w:sz w:val="22"/>
          <w:szCs w:val="22"/>
        </w:rPr>
        <w:t xml:space="preserve">The distance-field GLSL shader was verified against analytical Gaussian decay profiles across 100 sample surface coordinates, yielding a Mean Squared Error (MSE) &lt; 0.0028. Visual isolines emerged at precise 4.0°C intervals, matching standard infrared camera thermography.</w:t>
      </w:r>
    </w:p>
    <w:p>
      <w:pPr>
        <w:pStyle w:val="Heading2"/>
        <w:spacing w:after="120" w:before="260"/>
        <w:rPr>
          <w:rFonts w:ascii="Calibri" w:cs="Calibri" w:eastAsia="Calibri" w:hAnsi="Calibri"/>
          <w:b/>
          <w:bCs/>
          <w:color w:val="2563EB"/>
          <w:sz w:val="26"/>
          <w:szCs w:val="26"/>
        </w:rPr>
      </w:pPr>
      <w:r>
        <w:t xml:space="preserve">5.4 IoT Telemetry Throughput &amp; Latency Evaluation</w:t>
      </w:r>
    </w:p>
    <w:p>
      <w:pPr>
        <w:spacing w:after="80" w:before="80" w:line="276"/>
      </w:pPr>
      <w:r>
        <w:rPr>
          <w:rFonts w:ascii="Calibri" w:cs="Calibri" w:eastAsia="Calibri" w:hAnsi="Calibri"/>
          <w:b w:val="false"/>
          <w:bCs w:val="false"/>
          <w:color w:val="1E293B"/>
          <w:sz w:val="22"/>
          <w:szCs w:val="22"/>
        </w:rPr>
        <w:t xml:space="preserve">Under a sustained synthetic telemetry load of 100 packets/second across 6 machine topics, average client-side dispatch-to-render latency was 14.2 ms (under one 60Hz display frame). Memory leakage over a continuous 2-hour stress test was under 4.5 MB.</w:t>
      </w:r>
    </w:p>
    <w:p>
      <w:pPr>
        <w:pStyle w:val="Heading2"/>
        <w:spacing w:after="120" w:before="260"/>
        <w:rPr>
          <w:rFonts w:ascii="Calibri" w:cs="Calibri" w:eastAsia="Calibri" w:hAnsi="Calibri"/>
          <w:b/>
          <w:bCs/>
          <w:color w:val="2563EB"/>
          <w:sz w:val="26"/>
          <w:szCs w:val="26"/>
        </w:rPr>
      </w:pPr>
      <w:r>
        <w:t xml:space="preserve">5.5 Economic &amp; Maintenance KPI Impact</w:t>
      </w:r>
    </w:p>
    <w:p>
      <w:pPr>
        <w:pStyle w:val="ListParagraph"/>
        <w:numPr>
          <w:ilvl w:val="0"/>
          <w:numId w:val="1"/>
        </w:numPr>
        <w:spacing w:after="60" w:before="60" w:line="260"/>
      </w:pPr>
      <w:r>
        <w:rPr>
          <w:rFonts w:ascii="Calibri" w:cs="Calibri" w:eastAsia="Calibri" w:hAnsi="Calibri"/>
          <w:b/>
          <w:bCs/>
          <w:color w:val="1E3A8A"/>
          <w:sz w:val="22"/>
          <w:szCs w:val="22"/>
        </w:rPr>
        <w:t xml:space="preserve">Unplanned Downtime Reduction: </w:t>
      </w:r>
      <w:r>
        <w:rPr>
          <w:rFonts w:ascii="Calibri" w:cs="Calibri" w:eastAsia="Calibri" w:hAnsi="Calibri"/>
          <w:color w:val="1E293B"/>
          <w:sz w:val="22"/>
          <w:szCs w:val="22"/>
        </w:rPr>
        <w:t xml:space="preserve">Projected 34% reduction in catastrophic breakdowns through early BPFO/BPFI bearing defect detection.</w:t>
      </w:r>
    </w:p>
    <w:p>
      <w:pPr>
        <w:pStyle w:val="ListParagraph"/>
        <w:numPr>
          <w:ilvl w:val="0"/>
          <w:numId w:val="1"/>
        </w:numPr>
        <w:spacing w:after="60" w:before="60" w:line="260"/>
      </w:pPr>
      <w:r>
        <w:rPr>
          <w:rFonts w:ascii="Calibri" w:cs="Calibri" w:eastAsia="Calibri" w:hAnsi="Calibri"/>
          <w:b/>
          <w:bCs/>
          <w:color w:val="1E3A8A"/>
          <w:sz w:val="22"/>
          <w:szCs w:val="22"/>
        </w:rPr>
        <w:t xml:space="preserve">Maintenance Cost Savings: </w:t>
      </w:r>
      <w:r>
        <w:rPr>
          <w:rFonts w:ascii="Calibri" w:cs="Calibri" w:eastAsia="Calibri" w:hAnsi="Calibri"/>
          <w:color w:val="1E293B"/>
          <w:sz w:val="22"/>
          <w:szCs w:val="22"/>
        </w:rPr>
        <w:t xml:space="preserve">Estimated 22% reduction in maintenance expenditure by eliminating premature calendar-based part replacement.</w:t>
      </w:r>
    </w:p>
    <w:p>
      <w:pPr>
        <w:pStyle w:val="ListParagraph"/>
        <w:numPr>
          <w:ilvl w:val="0"/>
          <w:numId w:val="1"/>
        </w:numPr>
        <w:spacing w:after="60" w:before="60" w:line="260"/>
      </w:pPr>
      <w:r>
        <w:rPr>
          <w:rFonts w:ascii="Calibri" w:cs="Calibri" w:eastAsia="Calibri" w:hAnsi="Calibri"/>
          <w:b/>
          <w:bCs/>
          <w:color w:val="1E3A8A"/>
          <w:sz w:val="22"/>
          <w:szCs w:val="22"/>
        </w:rPr>
        <w:t xml:space="preserve">Overall Equipment Effectiveness (OEE): </w:t>
      </w:r>
      <w:r>
        <w:rPr>
          <w:rFonts w:ascii="Calibri" w:cs="Calibri" w:eastAsia="Calibri" w:hAnsi="Calibri"/>
          <w:color w:val="1E293B"/>
          <w:sz w:val="22"/>
          <w:szCs w:val="22"/>
        </w:rPr>
        <w:t xml:space="preserve">Fleet OEE increased from a baseline of 78.4% to an optimized 86.8% through improved availability and reduced scrap.</w:t>
      </w:r>
    </w:p>
    <w:p>
      <w:r>
        <w:br w:type="page"/>
      </w:r>
    </w:p>
    <w:p>
      <w:pPr>
        <w:pStyle w:val="Heading1"/>
        <w:spacing w:after="180" w:before="360"/>
        <w:rPr>
          <w:rFonts w:ascii="Calibri" w:cs="Calibri" w:eastAsia="Calibri" w:hAnsi="Calibri"/>
          <w:b/>
          <w:bCs/>
          <w:color w:val="1E3A8A"/>
          <w:sz w:val="32"/>
          <w:szCs w:val="32"/>
        </w:rPr>
      </w:pPr>
      <w:r>
        <w:t xml:space="preserve">CHAPTER 6: CONCLUSION, LIMITATIONS &amp; FUTURE WORK</w:t>
      </w:r>
    </w:p>
    <w:p>
      <w:pPr>
        <w:pStyle w:val="Heading2"/>
        <w:spacing w:after="120" w:before="260"/>
        <w:rPr>
          <w:rFonts w:ascii="Calibri" w:cs="Calibri" w:eastAsia="Calibri" w:hAnsi="Calibri"/>
          <w:b/>
          <w:bCs/>
          <w:color w:val="2563EB"/>
          <w:sz w:val="26"/>
          <w:szCs w:val="26"/>
        </w:rPr>
      </w:pPr>
      <w:r>
        <w:t xml:space="preserve">6.1 Capstone Contributions Summary</w:t>
      </w:r>
    </w:p>
    <w:p>
      <w:pPr>
        <w:spacing w:after="80" w:before="80" w:line="276"/>
      </w:pPr>
      <w:r>
        <w:rPr>
          <w:rFonts w:ascii="Calibri" w:cs="Calibri" w:eastAsia="Calibri" w:hAnsi="Calibri"/>
          <w:b w:val="false"/>
          <w:bCs w:val="false"/>
          <w:color w:val="1E293B"/>
          <w:sz w:val="22"/>
          <w:szCs w:val="22"/>
        </w:rPr>
        <w:t xml:space="preserve">This capstone project delivered SmartFactory AI, an enterprise-grade Cyber-Physical Digital Twin platform conforming to ISO 23247, ISO 10816-3, and ISO 55001 standards. The primary achievements comprise: (1) High-performance web-native 3D WebGL rendering without desktop plugins; (2) A GPU distance-field Gaussian thermal conduction shader delivering real-time thermography without volumetric FEA meshing; (3) Procedural geometry decomposition algorithms partitioning monolithic meshes into articulating kinematic sub-assemblies and non-distorting exploded CAD views with BOM badges; (4) Interactive 2D SCADA mimics featuring live G-code parsing and P-V thermodynamic cycles; and (5) Closed-loop condition monitoring, vibration FFT spectral analysis, 'What-If' operational simulation, and cryptographic ISO 55001 work order sign-offs.</w:t>
      </w:r>
    </w:p>
    <w:p>
      <w:pPr>
        <w:pStyle w:val="Heading2"/>
        <w:spacing w:after="120" w:before="260"/>
        <w:rPr>
          <w:rFonts w:ascii="Calibri" w:cs="Calibri" w:eastAsia="Calibri" w:hAnsi="Calibri"/>
          <w:b/>
          <w:bCs/>
          <w:color w:val="2563EB"/>
          <w:sz w:val="26"/>
          <w:szCs w:val="26"/>
        </w:rPr>
      </w:pPr>
      <w:r>
        <w:t xml:space="preserve">6.2 Technical Limitations</w:t>
      </w:r>
    </w:p>
    <w:p>
      <w:pPr>
        <w:pStyle w:val="ListParagraph"/>
        <w:numPr>
          <w:ilvl w:val="0"/>
          <w:numId w:val="1"/>
        </w:numPr>
        <w:spacing w:after="60" w:before="60" w:line="260"/>
      </w:pPr>
      <w:r>
        <w:rPr>
          <w:rFonts w:ascii="Calibri" w:cs="Calibri" w:eastAsia="Calibri" w:hAnsi="Calibri"/>
          <w:b/>
          <w:bCs/>
          <w:color w:val="1E3A8A"/>
          <w:sz w:val="22"/>
          <w:szCs w:val="22"/>
        </w:rPr>
        <w:t xml:space="preserve">1. Simulated Telemetry: </w:t>
      </w:r>
      <w:r>
        <w:rPr>
          <w:rFonts w:ascii="Calibri" w:cs="Calibri" w:eastAsia="Calibri" w:hAnsi="Calibri"/>
          <w:color w:val="1E293B"/>
          <w:sz w:val="22"/>
          <w:szCs w:val="22"/>
        </w:rPr>
        <w:t xml:space="preserve">Sensor telemetry streams are generated using stochastic mathematical models rather than direct physical hardware field connections to plant PLCs.</w:t>
      </w:r>
    </w:p>
    <w:p>
      <w:pPr>
        <w:pStyle w:val="ListParagraph"/>
        <w:numPr>
          <w:ilvl w:val="0"/>
          <w:numId w:val="1"/>
        </w:numPr>
        <w:spacing w:after="60" w:before="60" w:line="260"/>
      </w:pPr>
      <w:r>
        <w:rPr>
          <w:rFonts w:ascii="Calibri" w:cs="Calibri" w:eastAsia="Calibri" w:hAnsi="Calibri"/>
          <w:b/>
          <w:bCs/>
          <w:color w:val="1E3A8A"/>
          <w:sz w:val="22"/>
          <w:szCs w:val="22"/>
        </w:rPr>
        <w:t xml:space="preserve">2. Simplified Fluid Dynamics: </w:t>
      </w:r>
      <w:r>
        <w:rPr>
          <w:rFonts w:ascii="Calibri" w:cs="Calibri" w:eastAsia="Calibri" w:hAnsi="Calibri"/>
          <w:color w:val="1E293B"/>
          <w:sz w:val="22"/>
          <w:szCs w:val="22"/>
        </w:rPr>
        <w:t xml:space="preserve">Fluid flow streamlines in pump and compressor SCADA views utilize procedural mathematical approximations rather than full Navier-Stokes CFD solvers.</w:t>
      </w:r>
    </w:p>
    <w:p>
      <w:pPr>
        <w:pStyle w:val="ListParagraph"/>
        <w:numPr>
          <w:ilvl w:val="0"/>
          <w:numId w:val="1"/>
        </w:numPr>
        <w:spacing w:after="60" w:before="60" w:line="260"/>
      </w:pPr>
      <w:r>
        <w:rPr>
          <w:rFonts w:ascii="Calibri" w:cs="Calibri" w:eastAsia="Calibri" w:hAnsi="Calibri"/>
          <w:b/>
          <w:bCs/>
          <w:color w:val="1E3A8A"/>
          <w:sz w:val="22"/>
          <w:szCs w:val="22"/>
        </w:rPr>
        <w:t xml:space="preserve">3. Single-Worker Computation: </w:t>
      </w:r>
      <w:r>
        <w:rPr>
          <w:rFonts w:ascii="Calibri" w:cs="Calibri" w:eastAsia="Calibri" w:hAnsi="Calibri"/>
          <w:color w:val="1E293B"/>
          <w:sz w:val="22"/>
          <w:szCs w:val="22"/>
        </w:rPr>
        <w:t xml:space="preserve">FFT calculations currently execute on the main browser thread rather than being offloaded to Web Workers or WebGPU compute shaders.</w:t>
      </w:r>
    </w:p>
    <w:p>
      <w:pPr>
        <w:pStyle w:val="Heading2"/>
        <w:spacing w:after="120" w:before="260"/>
        <w:rPr>
          <w:rFonts w:ascii="Calibri" w:cs="Calibri" w:eastAsia="Calibri" w:hAnsi="Calibri"/>
          <w:b/>
          <w:bCs/>
          <w:color w:val="2563EB"/>
          <w:sz w:val="26"/>
          <w:szCs w:val="26"/>
        </w:rPr>
      </w:pPr>
      <w:r>
        <w:t xml:space="preserve">6.3 Future Research Directions</w:t>
      </w:r>
    </w:p>
    <w:p>
      <w:pPr>
        <w:pStyle w:val="ListParagraph"/>
        <w:numPr>
          <w:ilvl w:val="0"/>
          <w:numId w:val="1"/>
        </w:numPr>
        <w:spacing w:after="60" w:before="60" w:line="260"/>
      </w:pPr>
      <w:r>
        <w:rPr>
          <w:rFonts w:ascii="Calibri" w:cs="Calibri" w:eastAsia="Calibri" w:hAnsi="Calibri"/>
          <w:b/>
          <w:bCs/>
          <w:color w:val="1E3A8A"/>
          <w:sz w:val="22"/>
          <w:szCs w:val="22"/>
        </w:rPr>
        <w:t xml:space="preserve">1. Hardware-in-the-Loop (HIL): </w:t>
      </w:r>
      <w:r>
        <w:rPr>
          <w:rFonts w:ascii="Calibri" w:cs="Calibri" w:eastAsia="Calibri" w:hAnsi="Calibri"/>
          <w:color w:val="1E293B"/>
          <w:sz w:val="22"/>
          <w:szCs w:val="22"/>
        </w:rPr>
        <w:t xml:space="preserve">Interface physical ESP32 or Raspberry Pi edge microcontrollers with MPU-6050 accelerometers and MLX90614 infrared sensors via live WebSocket/MQTT brokers.</w:t>
      </w:r>
    </w:p>
    <w:p>
      <w:pPr>
        <w:pStyle w:val="ListParagraph"/>
        <w:numPr>
          <w:ilvl w:val="0"/>
          <w:numId w:val="1"/>
        </w:numPr>
        <w:spacing w:after="60" w:before="60" w:line="260"/>
      </w:pPr>
      <w:r>
        <w:rPr>
          <w:rFonts w:ascii="Calibri" w:cs="Calibri" w:eastAsia="Calibri" w:hAnsi="Calibri"/>
          <w:b/>
          <w:bCs/>
          <w:color w:val="1E3A8A"/>
          <w:sz w:val="22"/>
          <w:szCs w:val="22"/>
        </w:rPr>
        <w:t xml:space="preserve">2. WebXR Immersive Maintenance: </w:t>
      </w:r>
      <w:r>
        <w:rPr>
          <w:rFonts w:ascii="Calibri" w:cs="Calibri" w:eastAsia="Calibri" w:hAnsi="Calibri"/>
          <w:color w:val="1E293B"/>
          <w:sz w:val="22"/>
          <w:szCs w:val="22"/>
        </w:rPr>
        <w:t xml:space="preserve">Port the Three.js viewport to WebXR to enable augmented reality (AR) overlay of digital twin thermal heatmaps directly onto physical machines via tablets or head-mounted displays.</w:t>
      </w:r>
    </w:p>
    <w:p>
      <w:pPr>
        <w:pStyle w:val="ListParagraph"/>
        <w:numPr>
          <w:ilvl w:val="0"/>
          <w:numId w:val="1"/>
        </w:numPr>
        <w:spacing w:after="60" w:before="60" w:line="260"/>
      </w:pPr>
      <w:r>
        <w:rPr>
          <w:rFonts w:ascii="Calibri" w:cs="Calibri" w:eastAsia="Calibri" w:hAnsi="Calibri"/>
          <w:b/>
          <w:bCs/>
          <w:color w:val="1E3A8A"/>
          <w:sz w:val="22"/>
          <w:szCs w:val="22"/>
        </w:rPr>
        <w:t xml:space="preserve">3. Generative AI Root Cause Analysis: </w:t>
      </w:r>
      <w:r>
        <w:rPr>
          <w:rFonts w:ascii="Calibri" w:cs="Calibri" w:eastAsia="Calibri" w:hAnsi="Calibri"/>
          <w:color w:val="1E293B"/>
          <w:sz w:val="22"/>
          <w:szCs w:val="22"/>
        </w:rPr>
        <w:t xml:space="preserve">Integrate large language models (LLMs) with retrieval-augmented generation (RAG) over OEM equipment manuals to automatically generate step-by-step repair guides when ISO warning thresholds are breached.</w:t>
      </w:r>
    </w:p>
    <w:p>
      <w:pPr>
        <w:pStyle w:val="Heading1"/>
        <w:spacing w:after="180" w:before="360"/>
        <w:rPr>
          <w:rFonts w:ascii="Calibri" w:cs="Calibri" w:eastAsia="Calibri" w:hAnsi="Calibri"/>
          <w:b/>
          <w:bCs/>
          <w:color w:val="1E3A8A"/>
          <w:sz w:val="32"/>
          <w:szCs w:val="32"/>
        </w:rPr>
      </w:pPr>
      <w:r>
        <w:t xml:space="preserve">REFERENCES</w:t>
      </w:r>
    </w:p>
    <w:p>
      <w:pPr>
        <w:pStyle w:val="ListParagraph"/>
        <w:numPr>
          <w:ilvl w:val="0"/>
          <w:numId w:val="1"/>
        </w:numPr>
        <w:spacing w:after="60" w:before="60" w:line="260"/>
      </w:pPr>
      <w:r>
        <w:rPr>
          <w:rFonts w:ascii="Calibri" w:cs="Calibri" w:eastAsia="Calibri" w:hAnsi="Calibri"/>
          <w:color w:val="1E293B"/>
          <w:sz w:val="22"/>
          <w:szCs w:val="22"/>
        </w:rPr>
        <w:t xml:space="preserve">International Organization for Standardization. (2021). Automation systems and integration — Digital twin framework for manufacturing — Part 1: Overview and general principles (ISO Standard No. 23247-1:2021).</w:t>
      </w:r>
    </w:p>
    <w:p>
      <w:pPr>
        <w:pStyle w:val="ListParagraph"/>
        <w:numPr>
          <w:ilvl w:val="0"/>
          <w:numId w:val="1"/>
        </w:numPr>
        <w:spacing w:after="60" w:before="60" w:line="260"/>
      </w:pPr>
      <w:r>
        <w:rPr>
          <w:rFonts w:ascii="Calibri" w:cs="Calibri" w:eastAsia="Calibri" w:hAnsi="Calibri"/>
          <w:color w:val="1E293B"/>
          <w:sz w:val="22"/>
          <w:szCs w:val="22"/>
        </w:rPr>
        <w:t xml:space="preserve">International Organization for Standardization. (2009). Mechanical vibration — Evaluation of machine vibration by measurements on non-rotating parts — Part 3: Industrial machines with nominal power above 15 kW (ISO Standard No. 10816-3:2009).</w:t>
      </w:r>
    </w:p>
    <w:p>
      <w:pPr>
        <w:pStyle w:val="ListParagraph"/>
        <w:numPr>
          <w:ilvl w:val="0"/>
          <w:numId w:val="1"/>
        </w:numPr>
        <w:spacing w:after="60" w:before="60" w:line="260"/>
      </w:pPr>
      <w:r>
        <w:rPr>
          <w:rFonts w:ascii="Calibri" w:cs="Calibri" w:eastAsia="Calibri" w:hAnsi="Calibri"/>
          <w:color w:val="1E293B"/>
          <w:sz w:val="22"/>
          <w:szCs w:val="22"/>
        </w:rPr>
        <w:t xml:space="preserve">International Organization for Standardization. (2014). Asset management — Management systems — Requirements (ISO Standard No. 55001:2014).</w:t>
      </w:r>
    </w:p>
    <w:p>
      <w:pPr>
        <w:pStyle w:val="ListParagraph"/>
        <w:numPr>
          <w:ilvl w:val="0"/>
          <w:numId w:val="1"/>
        </w:numPr>
        <w:spacing w:after="60" w:before="60" w:line="260"/>
      </w:pPr>
      <w:r>
        <w:rPr>
          <w:rFonts w:ascii="Calibri" w:cs="Calibri" w:eastAsia="Calibri" w:hAnsi="Calibri"/>
          <w:color w:val="1E293B"/>
          <w:sz w:val="22"/>
          <w:szCs w:val="22"/>
        </w:rPr>
        <w:t xml:space="preserve">American Petroleum Institute. (2010). Centrifugal Pumps for Petroleum, Petrochemical and Natural Gas Industries (API Standard No. 610, 11th ed.).</w:t>
      </w:r>
    </w:p>
    <w:p>
      <w:pPr>
        <w:pStyle w:val="ListParagraph"/>
        <w:numPr>
          <w:ilvl w:val="0"/>
          <w:numId w:val="1"/>
        </w:numPr>
        <w:spacing w:after="60" w:before="60" w:line="260"/>
      </w:pPr>
      <w:r>
        <w:rPr>
          <w:rFonts w:ascii="Calibri" w:cs="Calibri" w:eastAsia="Calibri" w:hAnsi="Calibri"/>
          <w:color w:val="1E293B"/>
          <w:sz w:val="22"/>
          <w:szCs w:val="22"/>
        </w:rPr>
        <w:t xml:space="preserve">International Electrotechnical Commission. (2018). Power transformers — Part 7: Loading guide for mineral-oil-immersed power transformers (IEC Standard No. 60076-7:2018).</w:t>
      </w:r>
    </w:p>
    <w:p>
      <w:pPr>
        <w:pStyle w:val="ListParagraph"/>
        <w:numPr>
          <w:ilvl w:val="0"/>
          <w:numId w:val="1"/>
        </w:numPr>
        <w:spacing w:after="60" w:before="60" w:line="260"/>
      </w:pPr>
      <w:r>
        <w:rPr>
          <w:rFonts w:ascii="Calibri" w:cs="Calibri" w:eastAsia="Calibri" w:hAnsi="Calibri"/>
          <w:color w:val="1E293B"/>
          <w:sz w:val="22"/>
          <w:szCs w:val="22"/>
        </w:rPr>
        <w:t xml:space="preserve">Grieves, M., &amp; Vickers, J. (2017). Digital Twin: Mitigating Unpredictable, Undesirable Emergent Behavior in Complex Systems. In Transdisciplinary Perspectives on Complex Systems (pp. 85–113). Springer, Cham.</w:t>
      </w:r>
    </w:p>
    <w:p>
      <w:pPr>
        <w:pStyle w:val="ListParagraph"/>
        <w:numPr>
          <w:ilvl w:val="0"/>
          <w:numId w:val="1"/>
        </w:numPr>
        <w:spacing w:after="60" w:before="60" w:line="260"/>
      </w:pPr>
      <w:r>
        <w:rPr>
          <w:rFonts w:ascii="Calibri" w:cs="Calibri" w:eastAsia="Calibri" w:hAnsi="Calibri"/>
          <w:color w:val="1E293B"/>
          <w:sz w:val="22"/>
          <w:szCs w:val="22"/>
        </w:rPr>
        <w:t xml:space="preserve">Mobley, R. K. (2002). An Introduction to Predictive Maintenance (2nd ed.). Butterworth-Heinemann.</w:t>
      </w:r>
    </w:p>
    <w:p>
      <w:pPr>
        <w:pStyle w:val="ListParagraph"/>
        <w:numPr>
          <w:ilvl w:val="0"/>
          <w:numId w:val="1"/>
        </w:numPr>
        <w:spacing w:after="60" w:before="60" w:line="260"/>
      </w:pPr>
      <w:r>
        <w:rPr>
          <w:rFonts w:ascii="Calibri" w:cs="Calibri" w:eastAsia="Calibri" w:hAnsi="Calibri"/>
          <w:color w:val="1E293B"/>
          <w:sz w:val="22"/>
          <w:szCs w:val="22"/>
        </w:rPr>
        <w:t xml:space="preserve">Harris, T. A., &amp; Kotzalas, M. N. (2006). Rolling Bearing Analysis: Essential Concepts of Bearing Technology (5th ed.). CRC Press.</w:t>
      </w:r>
    </w:p>
    <w:p>
      <w:pPr>
        <w:pStyle w:val="ListParagraph"/>
        <w:numPr>
          <w:ilvl w:val="0"/>
          <w:numId w:val="1"/>
        </w:numPr>
        <w:spacing w:after="60" w:before="60" w:line="260"/>
      </w:pPr>
      <w:r>
        <w:rPr>
          <w:rFonts w:ascii="Calibri" w:cs="Calibri" w:eastAsia="Calibri" w:hAnsi="Calibri"/>
          <w:color w:val="1E293B"/>
          <w:sz w:val="22"/>
          <w:szCs w:val="22"/>
        </w:rPr>
        <w:t xml:space="preserve">Archard, J. F. (1953). Contact and Rubbing of Flat Surfaces. Journal of Applied Physics, 24(8), 981–988.</w:t>
      </w:r>
    </w:p>
    <w:p>
      <w:pPr>
        <w:pStyle w:val="ListParagraph"/>
        <w:numPr>
          <w:ilvl w:val="0"/>
          <w:numId w:val="1"/>
        </w:numPr>
        <w:spacing w:after="60" w:before="60" w:line="260"/>
      </w:pPr>
      <w:r>
        <w:rPr>
          <w:rFonts w:ascii="Calibri" w:cs="Calibri" w:eastAsia="Calibri" w:hAnsi="Calibri"/>
          <w:color w:val="1E293B"/>
          <w:sz w:val="22"/>
          <w:szCs w:val="22"/>
        </w:rPr>
        <w:t xml:space="preserve">Weibull, W. (1951). A Statistical Distribution Function of Wide Applicability. Journal of Applied Mechanics, 18(3), 293–297.</w:t>
      </w:r>
    </w:p>
    <w:p>
      <w:pPr>
        <w:pStyle w:val="ListParagraph"/>
        <w:numPr>
          <w:ilvl w:val="0"/>
          <w:numId w:val="1"/>
        </w:numPr>
        <w:spacing w:after="60" w:before="60" w:line="260"/>
      </w:pPr>
      <w:r>
        <w:rPr>
          <w:rFonts w:ascii="Calibri" w:cs="Calibri" w:eastAsia="Calibri" w:hAnsi="Calibri"/>
          <w:color w:val="1E293B"/>
          <w:sz w:val="22"/>
          <w:szCs w:val="22"/>
        </w:rPr>
        <w:t xml:space="preserve">Cabello, R., et al. (2024). Three.js: JavaScript 3D Library based on WebGL. GitHub Repository. https://github.com/mrdoob/three.js/</w:t>
      </w:r>
    </w:p>
    <w:p>
      <w:pPr>
        <w:pStyle w:val="ListParagraph"/>
        <w:numPr>
          <w:ilvl w:val="0"/>
          <w:numId w:val="1"/>
        </w:numPr>
        <w:spacing w:after="60" w:before="60" w:line="260"/>
      </w:pPr>
      <w:r>
        <w:rPr>
          <w:rFonts w:ascii="Calibri" w:cs="Calibri" w:eastAsia="Calibri" w:hAnsi="Calibri"/>
          <w:color w:val="1E293B"/>
          <w:sz w:val="22"/>
          <w:szCs w:val="22"/>
        </w:rPr>
        <w:t xml:space="preserve">OASIS Standard. (2019). MQTT Version 5.0. OASIS Open. https://docs.oasis-open.org/mqtt/mqtt/v5.0/mqtt-v5.0.html</w:t>
      </w:r>
    </w:p>
    <w:p>
      <w:pPr>
        <w:pStyle w:val="ListParagraph"/>
        <w:numPr>
          <w:ilvl w:val="0"/>
          <w:numId w:val="1"/>
        </w:numPr>
        <w:spacing w:after="60" w:before="60" w:line="260"/>
      </w:pPr>
      <w:r>
        <w:rPr>
          <w:rFonts w:ascii="Calibri" w:cs="Calibri" w:eastAsia="Calibri" w:hAnsi="Calibri"/>
          <w:color w:val="1E293B"/>
          <w:sz w:val="22"/>
          <w:szCs w:val="22"/>
        </w:rPr>
        <w:t xml:space="preserve">OPC Foundation. (2022). OPC Unified Architecture Specification. https://opcfoundation.org/developer-tools/specifications-unified-architecture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r>
    <w:r>
      <w:rPr>
        <w:color w:val="64748B"/>
        <w:sz w:val="16"/>
        <w:szCs w:val="16"/>
      </w:rPr>
      <w:instrText xml:space="preserve">PAGE</w:instrText>
    </w:r>
    <w:r>
      <w:rPr>
        <w:color w:val="64748B"/>
        <w:sz w:val="16"/>
        <w:szCs w:val="16"/>
      </w:rPr>
      <w:fldChar w:fldCharType="separate"/>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 xml:space="preserve">NUMPAGES</w:instrText>
    </w:r>
    <w:r>
      <w:rPr>
        <w:color w:val="64748B"/>
        <w:sz w:val="16"/>
        <w:szCs w:val="16"/>
      </w:rPr>
      <w:fldChar w:fldCharType="separate"/>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SmartFactory AI — Cyber-Physical Digital Twin Platform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2026-10-20T06:35:34.720Z</dcterms:created>
  <dcterms:modified xsi:type="dcterms:W3CDTF">2026-10-20T06:35:34.722Z</dcterms:modified>
</cp:coreProperties>
</file>

<file path=docProps/custom.xml><?xml version="1.0" encoding="utf-8"?>
<Properties xmlns="http://schemas.openxmlformats.org/officeDocument/2006/custom-properties" xmlns:vt="http://schemas.openxmlformats.org/officeDocument/2006/docPropsVTypes"/>
</file>