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Salary Management Requirements</w:t>
      </w:r>
    </w:p>
    <w:p>
      <w:pPr>
        <w:widowControl/>
        <w:spacing w:after="100"/>
      </w:pPr>
      <w:r>
        <w:rPr>
          <w:i/>
          <w:color w:val="5A5A5A"/>
          <w:sz w:val="17"/>
        </w:rPr>
        <w:t>Assumption-based scope for the 10,000-employee assessment</w:t>
      </w:r>
    </w:p>
    <w:p>
      <w:pPr>
        <w:pStyle w:val="Heading1"/>
        <w:widowControl/>
      </w:pPr>
      <w:r>
        <w:t>Goal and user</w:t>
      </w:r>
    </w:p>
    <w:p>
      <w:pPr>
        <w:widowControl/>
      </w:pPr>
      <w:r>
        <w:t>Help ACME’s HR Manager replace spreadsheet-based salary tracking with a secure web application for maintaining employee pay and answering common, evidence-based questions about how the organization pays people.</w:t>
      </w:r>
    </w:p>
    <w:p>
      <w:pPr>
        <w:pStyle w:val="Heading1"/>
        <w:widowControl/>
      </w:pPr>
      <w:r>
        <w:t>Assumptions and core scope</w:t>
      </w:r>
    </w:p>
    <w:p>
      <w:pPr>
        <w:pStyle w:val="ListBullet"/>
        <w:widowControl/>
      </w:pPr>
      <w:r>
        <w:rPr>
          <w:b/>
        </w:rPr>
        <w:t xml:space="preserve">Employee and salary records. </w:t>
      </w:r>
      <w:r>
        <w:t>Seed 10,000 fictional employees. Track employee ID, name, country, department and status. For this assessment, salary means annual base pay in one ISO currency with an effective date; retain each change with its prior value, actor and timestamp.</w:t>
      </w:r>
    </w:p>
    <w:p>
      <w:pPr>
        <w:pStyle w:val="ListBullet"/>
        <w:widowControl/>
      </w:pPr>
      <w:r>
        <w:rPr>
          <w:b/>
        </w:rPr>
        <w:t xml:space="preserve">HR workflows. </w:t>
      </w:r>
      <w:r>
        <w:t>Provide searchable, filterable, server-paginated employee records, salary details and validated salary updates.</w:t>
      </w:r>
    </w:p>
    <w:p>
      <w:pPr>
        <w:pStyle w:val="ListBullet"/>
        <w:widowControl/>
      </w:pPr>
      <w:r>
        <w:rPr>
          <w:b/>
        </w:rPr>
        <w:t xml:space="preserve">Authentication. </w:t>
      </w:r>
      <w:r>
        <w:t>Use OAuth 2.0 / OpenID Connect Authorization Code with PKCE and JWT access tokens, with a single HR_MANAGER role and a seeded demo identity. Production SSO, user administration and fine-grained role management are out of scope.</w:t>
      </w:r>
    </w:p>
    <w:p>
      <w:pPr>
        <w:pStyle w:val="ListBullet"/>
        <w:widowControl/>
      </w:pPr>
      <w:r>
        <w:rPr>
          <w:b/>
        </w:rPr>
        <w:t xml:space="preserve">Pay insights. </w:t>
      </w:r>
      <w:r>
        <w:t>Provide employee counts and minimum, average and maximum annual base pay grouped by country, department and currency, with filters.</w:t>
      </w:r>
    </w:p>
    <w:p>
      <w:pPr>
        <w:pStyle w:val="Heading1"/>
        <w:widowControl/>
      </w:pPr>
      <w:r>
        <w:t>How the application answers pay questions</w:t>
      </w:r>
    </w:p>
    <w:p>
      <w:pPr>
        <w:widowControl/>
      </w:pPr>
      <w:r>
        <w:t>Use a reporting view with supported metrics, groupings and filters backed by database aggregation endpoints. Every result shows its currency; values in different currencies are never combined. Spring AI and free-form chat are not in the first version: deterministic results are easier to verify and audit, and the assessment does not require natural-language chat. If chat is added later, an LLM should call restricted aggregation tools and receive summarized results, never all 10,000 salary rows.</w:t>
      </w:r>
    </w:p>
    <w:p>
      <w:pPr>
        <w:pStyle w:val="Heading1"/>
        <w:widowControl/>
      </w:pPr>
      <w:r>
        <w:t>Out of scope and rationale</w:t>
      </w:r>
    </w:p>
    <w:p>
      <w:pPr>
        <w:widowControl/>
      </w:pPr>
      <w:r>
        <w:t>Payroll execution, tax or benefits calculations, exchange-rate conversion, approvals, employee self-service and spreadsheet import/export are excluded because their rules and workflows are unspecified and are not needed to demonstrate salary management and pay insights.</w:t>
      </w:r>
    </w:p>
    <w:p>
      <w:pPr>
        <w:pStyle w:val="Heading1"/>
        <w:widowControl/>
      </w:pPr>
      <w:r>
        <w:t>Technical direction and quality</w:t>
      </w:r>
    </w:p>
    <w:p>
      <w:pPr>
        <w:widowControl/>
      </w:pPr>
      <w:r>
        <w:t>Use Angular, Java with Spring Boot and a relational database. Apply server-side pagination and filtering for employee lists, and focused deterministic tests for salary validation, history, access control and analytics. Deploy the application and provide a short workflow demo.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49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7882"/>
        <w:sz w:val="16"/>
      </w:rPr>
      <w:t xml:space="preserve">Salary Management — Draft Requirements  •  Page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Aptos" w:hAnsi="Aptos"/>
        <w:b/>
        <w:color w:val="647382"/>
        <w:sz w:val="16"/>
      </w:rPr>
      <w:t>ACME  |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hAnsi="Arial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D5A8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ind w:left="317" w:hanging="173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