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Project Proposal - Q1 2025</w:t>
      </w:r>
    </w:p>
    <w:p>
      <w:r>
        <w:t/>
      </w:r>
    </w:p>
    <w:p>
      <w:r>
        <w:t>This proposal outlines the key initiatives for the first quarter of 2025.</w:t>
      </w:r>
    </w:p>
    <w:p>
      <w:r>
        <w:t>Key objectives include:</w:t>
      </w:r>
    </w:p>
    <w:p>
      <w:pPr>
        <w:ind w:left="720"/>
      </w:pPr>
      <w:r>
        <w:t>• Launch new product line</w:t>
      </w:r>
    </w:p>
    <w:p>
      <w:pPr>
        <w:ind w:left="720"/>
      </w:pPr>
      <w:r>
        <w:t>• Expand to European markets</w:t>
      </w:r>
    </w:p>
    <w:p>
      <w:pPr>
        <w:ind w:left="720"/>
      </w:pPr>
      <w:r>
        <w:t>• Improve customer retention by 15%</w:t>
      </w:r>
    </w:p>
  </w:body>
</w:document>
</file>