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Ready-to-use paragraphs for paper </w:t>
      </w:r>
    </w:p>
    <w:p w:rsidR="00000000" w:rsidDel="00000000" w:rsidP="00000000" w:rsidRDefault="00000000" w:rsidRPr="00000000" w14:paraId="00000002">
      <w:pPr>
        <w:rPr>
          <w:b w:val="1"/>
          <w:bCs w:val="1"/>
        </w:rPr>
      </w:pPr>
      <w:r w:rsidDel="00000000" w:rsidR="00000000" w:rsidRPr="00000000">
        <w:rPr>
          <w:rtl w:val="0"/>
        </w:rPr>
        <w:br w:type="textWrapping"/>
      </w:r>
      <w:r w:rsidDel="00000000" w:rsidR="00000000" w:rsidRPr="00000000">
        <w:rPr>
          <w:b w:val="1"/>
          <w:bCs w:val="1"/>
          <w:rtl w:val="0"/>
        </w:rPr>
        <w:t xml:space="preserve">Results section:</w:t>
      </w:r>
    </w:p>
    <w:p w:rsidR="00000000" w:rsidDel="00000000" w:rsidP="00000000" w:rsidRDefault="00000000" w:rsidRPr="00000000" w14:paraId="00000003">
      <w:pPr>
        <w:spacing w:after="240" w:before="240" w:lineRule="auto"/>
        <w:ind w:left="600" w:right="600" w:firstLine="0"/>
        <w:rPr/>
      </w:pPr>
      <w:r w:rsidDel="00000000" w:rsidR="00000000" w:rsidRPr="00000000">
        <w:rPr>
          <w:rtl w:val="0"/>
        </w:rPr>
        <w:t xml:space="preserve">Table 1 summarizes the performance of the four machine learning algorithms evaluated. Among the models tested, K-Nearest Neighbors (KNN) achieved the highest performance across all four metrics, with an accuracy of 90.2%, precision of 93.3%, recall of 87.5%, and F1-score of 90.3%. Support Vector Machine (SVM) ranked second (86.9% accuracy), followed by Logistic Regression (85.2%) and Random Forest (83.6%).</w:t>
      </w:r>
    </w:p>
    <w:p w:rsidR="00000000" w:rsidDel="00000000" w:rsidP="00000000" w:rsidRDefault="00000000" w:rsidRPr="00000000" w14:paraId="00000004">
      <w:pPr>
        <w:spacing w:after="240" w:before="240" w:lineRule="auto"/>
        <w:ind w:left="600" w:right="600" w:firstLine="0"/>
        <w:rPr/>
      </w:pPr>
      <w:r w:rsidDel="00000000" w:rsidR="00000000" w:rsidRPr="00000000">
        <w:rPr>
          <w:rtl w:val="0"/>
        </w:rPr>
        <w:t xml:space="preserve">The confusion matrix for the best-performing model, KNN (Figure 2), shows that out of 61 test patients, the model correctly identified 27 of 29 patients without heart disease and 28 of 32 patients with heart disease, with 2 false positives and 4 false negatives.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Discussion section:</w:t>
      </w:r>
    </w:p>
    <w:p w:rsidR="00000000" w:rsidDel="00000000" w:rsidP="00000000" w:rsidRDefault="00000000" w:rsidRPr="00000000" w14:paraId="00000007">
      <w:pPr>
        <w:spacing w:after="240" w:before="240" w:lineRule="auto"/>
        <w:ind w:left="600" w:right="600" w:firstLine="0"/>
        <w:rPr/>
      </w:pPr>
      <w:r w:rsidDel="00000000" w:rsidR="00000000" w:rsidRPr="00000000">
        <w:rPr>
          <w:rtl w:val="0"/>
        </w:rPr>
        <w:t xml:space="preserve">Given the clinical nature of this task, false negatives are of particular concern, as they represent at-risk patients who could be overlooked. The KNN model's recall of 87.5% indicates reasonably strong, though not perfect, sensitivity to positive cases.</w:t>
      </w:r>
    </w:p>
    <w:p w:rsidR="00000000" w:rsidDel="00000000" w:rsidP="00000000" w:rsidRDefault="00000000" w:rsidRPr="00000000" w14:paraId="00000008">
      <w:pPr>
        <w:spacing w:after="240" w:before="240" w:lineRule="auto"/>
        <w:ind w:left="600" w:right="600" w:firstLine="0"/>
        <w:rPr/>
      </w:pPr>
      <w:r w:rsidDel="00000000" w:rsidR="00000000" w:rsidRPr="00000000">
        <w:rPr>
          <w:rtl w:val="0"/>
        </w:rPr>
        <w:t xml:space="preserve">Feature importance analysis using Random Forest (Figure 3) identified oldpeak, maximum heart rate achieved, number of major vessels, and chest pain type as the most influential predictors. These findings align with established clinical understanding, as exercise-induced ST depression and abnormal heart rate response are well-documented cardiovascular risk indicators. Notably, KNN's strong performance suggests that patients with heart disease in this dataset exhibit closely clustered patterns across measured variables, making similarity-based reasoning particularly effective here. Given the relatively small test set (61 patients), these results should be treated as indicative rather than conclusive.</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