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varnarc-privacy-policy"/>
    <w:p>
      <w:pPr>
        <w:pStyle w:val="Heading1"/>
      </w:pPr>
      <w:r>
        <w:t xml:space="preserve">Varnarc Privacy Policy</w:t>
      </w:r>
    </w:p>
    <w:p>
      <w:pPr>
        <w:pStyle w:val="FirstParagraph"/>
      </w:pPr>
      <w:r>
        <w:rPr>
          <w:b/>
          <w:bCs/>
        </w:rPr>
        <w:t xml:space="preserve">Effective date:</w:t>
      </w:r>
      <w:r>
        <w:t xml:space="preserve"> </w:t>
      </w:r>
      <w:r>
        <w:t xml:space="preserve">5 September 2026</w:t>
      </w:r>
      <w:r>
        <w:br/>
      </w:r>
      <w:r>
        <w:rPr>
          <w:b/>
          <w:bCs/>
        </w:rPr>
        <w:t xml:space="preserve">Last updated:</w:t>
      </w:r>
      <w:r>
        <w:t xml:space="preserve"> </w:t>
      </w:r>
      <w:r>
        <w:t xml:space="preserve">5 September 2026</w:t>
      </w:r>
    </w:p>
    <w:p>
      <w:pPr>
        <w:pStyle w:val="BodyText"/>
      </w:pPr>
      <w:r>
        <w:t xml:space="preserve">This Privacy Policy explains how</w:t>
      </w:r>
      <w:r>
        <w:t xml:space="preserve"> </w:t>
      </w:r>
      <w:r>
        <w:rPr>
          <w:b/>
          <w:bCs/>
        </w:rPr>
        <w:t xml:space="preserve">Varnarc Private Limited</w:t>
      </w:r>
      <w:r>
        <w:t xml:space="preserve">, operating as</w:t>
      </w:r>
      <w:r>
        <w:t xml:space="preserve"> </w:t>
      </w:r>
      <w:r>
        <w:rPr>
          <w:b/>
          <w:bCs/>
        </w:rPr>
        <w:t xml:space="preserve">Varnarc</w:t>
      </w:r>
      <w:r>
        <w:t xml:space="preserve"> </w:t>
      </w:r>
      <w:r>
        <w:t xml:space="preserve">(“Varnarc”, “we”, “us” or “our”), collects, uses, stores and shares personal data when you use</w:t>
      </w:r>
      <w:r>
        <w:t xml:space="preserve"> </w:t>
      </w:r>
      <w:r>
        <w:rPr>
          <w:rStyle w:val="VerbatimChar"/>
        </w:rPr>
        <w:t xml:space="preserve">https://varnarc.com</w:t>
      </w:r>
      <w:r>
        <w:t xml:space="preserve">, our applications, calculators, guides, comparison tools, directories, newsletters and related services (collectively, the “Services”).</w:t>
      </w:r>
    </w:p>
    <w:p>
      <w:pPr>
        <w:pStyle w:val="BodyText"/>
      </w:pPr>
      <w:r>
        <w:t xml:space="preserve">For the purposes of India’s Digital Personal Data Protection Act, 2023 (“DPDP Act”),</w:t>
      </w:r>
      <w:r>
        <w:t xml:space="preserve"> </w:t>
      </w:r>
      <w:r>
        <w:rPr>
          <w:b/>
          <w:bCs/>
        </w:rPr>
        <w:t xml:space="preserve">Varnarc Private Limited</w:t>
      </w:r>
      <w:r>
        <w:t xml:space="preserve"> </w:t>
      </w:r>
      <w:r>
        <w:t xml:space="preserve">is the Data Fiduciary responsible for personal data processed through the Services.</w:t>
      </w:r>
    </w:p>
    <w:bookmarkStart w:id="9" w:name="scope"/>
    <w:p>
      <w:pPr>
        <w:pStyle w:val="Heading2"/>
      </w:pPr>
      <w:r>
        <w:t xml:space="preserve">1. Scope</w:t>
      </w:r>
    </w:p>
    <w:p>
      <w:pPr>
        <w:pStyle w:val="FirstParagraph"/>
      </w:pPr>
      <w:r>
        <w:t xml:space="preserve">This Policy applies to personal data processed through the Services. It does not govern third-party websites, products or services that Varnarc links to. Those third parties have their own privacy practices, and you should review their policies before providing information.</w:t>
      </w:r>
    </w:p>
    <w:bookmarkEnd w:id="9"/>
    <w:bookmarkStart w:id="19" w:name="personal-data-we-collect"/>
    <w:p>
      <w:pPr>
        <w:pStyle w:val="Heading2"/>
      </w:pPr>
      <w:r>
        <w:t xml:space="preserve">2. Personal data we collect</w:t>
      </w:r>
    </w:p>
    <w:p>
      <w:pPr>
        <w:pStyle w:val="FirstParagraph"/>
      </w:pPr>
      <w:r>
        <w:t xml:space="preserve">Depending on how you use Varnarc, we may collect the following categories of data.</w:t>
      </w:r>
    </w:p>
    <w:bookmarkStart w:id="10" w:name="account-and-identity-data"/>
    <w:p>
      <w:pPr>
        <w:pStyle w:val="Heading3"/>
      </w:pPr>
      <w:r>
        <w:t xml:space="preserve">2.1 Account and identity data</w:t>
      </w:r>
    </w:p>
    <w:p>
      <w:pPr>
        <w:pStyle w:val="FirstParagraph"/>
      </w:pPr>
      <w:r>
        <w:t xml:space="preserve">When you create or use an account, we may receive or store:</w:t>
      </w:r>
    </w:p>
    <w:p>
      <w:pPr>
        <w:pStyle w:val="Compact"/>
        <w:numPr>
          <w:ilvl w:val="0"/>
          <w:numId w:val="1001"/>
        </w:numPr>
      </w:pPr>
      <w:r>
        <w:t xml:space="preserve">your name, email address, username and profile image;</w:t>
      </w:r>
    </w:p>
    <w:p>
      <w:pPr>
        <w:pStyle w:val="Compact"/>
        <w:numPr>
          <w:ilvl w:val="0"/>
          <w:numId w:val="1001"/>
        </w:numPr>
      </w:pPr>
      <w:r>
        <w:t xml:space="preserve">whether your email address has been verified;</w:t>
      </w:r>
    </w:p>
    <w:p>
      <w:pPr>
        <w:pStyle w:val="Compact"/>
        <w:numPr>
          <w:ilvl w:val="0"/>
          <w:numId w:val="1001"/>
        </w:numPr>
      </w:pPr>
      <w:r>
        <w:t xml:space="preserve">the identity-provider account identifier used to authenticate you;</w:t>
      </w:r>
    </w:p>
    <w:p>
      <w:pPr>
        <w:pStyle w:val="Compact"/>
        <w:numPr>
          <w:ilvl w:val="0"/>
          <w:numId w:val="1001"/>
        </w:numPr>
      </w:pPr>
      <w:r>
        <w:t xml:space="preserve">optional profile information such as phone number, biography, location, website and social links;</w:t>
      </w:r>
    </w:p>
    <w:p>
      <w:pPr>
        <w:pStyle w:val="Compact"/>
        <w:numPr>
          <w:ilvl w:val="0"/>
          <w:numId w:val="1001"/>
        </w:numPr>
      </w:pPr>
      <w:r>
        <w:t xml:space="preserve">profile visibility, language, timezone, theme and notification preferences; and</w:t>
      </w:r>
    </w:p>
    <w:p>
      <w:pPr>
        <w:pStyle w:val="Compact"/>
        <w:numPr>
          <w:ilvl w:val="0"/>
          <w:numId w:val="1001"/>
        </w:numPr>
      </w:pPr>
      <w:r>
        <w:t xml:space="preserve">account status and recent login time.</w:t>
      </w:r>
    </w:p>
    <w:p>
      <w:pPr>
        <w:pStyle w:val="FirstParagraph"/>
      </w:pPr>
      <w:r>
        <w:t xml:space="preserve">Authentication is provided through Auth0. The sign-in methods available to you depend on the connections enabled in our Auth0 account.</w:t>
      </w:r>
    </w:p>
    <w:bookmarkEnd w:id="10"/>
    <w:bookmarkStart w:id="11" w:name="security-and-device-data"/>
    <w:p>
      <w:pPr>
        <w:pStyle w:val="Heading3"/>
      </w:pPr>
      <w:r>
        <w:t xml:space="preserve">2.2 Security and device data</w:t>
      </w:r>
    </w:p>
    <w:p>
      <w:pPr>
        <w:pStyle w:val="FirstParagraph"/>
      </w:pPr>
      <w:r>
        <w:t xml:space="preserve">When you access the Services, we may process:</w:t>
      </w:r>
    </w:p>
    <w:p>
      <w:pPr>
        <w:pStyle w:val="Compact"/>
        <w:numPr>
          <w:ilvl w:val="0"/>
          <w:numId w:val="1002"/>
        </w:numPr>
      </w:pPr>
      <w:r>
        <w:t xml:space="preserve">IP address or a hashed representation of it;</w:t>
      </w:r>
    </w:p>
    <w:p>
      <w:pPr>
        <w:pStyle w:val="Compact"/>
        <w:numPr>
          <w:ilvl w:val="0"/>
          <w:numId w:val="1002"/>
        </w:numPr>
      </w:pPr>
      <w:r>
        <w:t xml:space="preserve">browser, operating system, device or platform information;</w:t>
      </w:r>
    </w:p>
    <w:p>
      <w:pPr>
        <w:pStyle w:val="Compact"/>
        <w:numPr>
          <w:ilvl w:val="0"/>
          <w:numId w:val="1002"/>
        </w:numPr>
      </w:pPr>
      <w:r>
        <w:t xml:space="preserve">user-agent, request time and referring page;</w:t>
      </w:r>
    </w:p>
    <w:p>
      <w:pPr>
        <w:pStyle w:val="Compact"/>
        <w:numPr>
          <w:ilvl w:val="0"/>
          <w:numId w:val="1002"/>
        </w:numPr>
      </w:pPr>
      <w:r>
        <w:t xml:space="preserve">login and security-event history; and</w:t>
      </w:r>
    </w:p>
    <w:p>
      <w:pPr>
        <w:pStyle w:val="Compact"/>
        <w:numPr>
          <w:ilvl w:val="0"/>
          <w:numId w:val="1002"/>
        </w:numPr>
      </w:pPr>
      <w:r>
        <w:t xml:space="preserve">information needed to detect abuse, spam, fraud or unauthorised access.</w:t>
      </w:r>
    </w:p>
    <w:bookmarkEnd w:id="11"/>
    <w:bookmarkStart w:id="12" w:name="usage-and-analytics-data"/>
    <w:p>
      <w:pPr>
        <w:pStyle w:val="Heading3"/>
      </w:pPr>
      <w:r>
        <w:t xml:space="preserve">2.3 Usage and analytics data</w:t>
      </w:r>
    </w:p>
    <w:p>
      <w:pPr>
        <w:pStyle w:val="FirstParagraph"/>
      </w:pPr>
      <w:r>
        <w:t xml:space="preserve">We may collect:</w:t>
      </w:r>
    </w:p>
    <w:p>
      <w:pPr>
        <w:pStyle w:val="Compact"/>
        <w:numPr>
          <w:ilvl w:val="0"/>
          <w:numId w:val="1003"/>
        </w:numPr>
      </w:pPr>
      <w:r>
        <w:t xml:space="preserve">pages viewed, links or advertisements clicked and features used;</w:t>
      </w:r>
    </w:p>
    <w:p>
      <w:pPr>
        <w:pStyle w:val="Compact"/>
        <w:numPr>
          <w:ilvl w:val="0"/>
          <w:numId w:val="1003"/>
        </w:numPr>
      </w:pPr>
      <w:r>
        <w:t xml:space="preserve">searches, bookmarks, reading history, recently viewed tools and content subscriptions;</w:t>
      </w:r>
    </w:p>
    <w:p>
      <w:pPr>
        <w:pStyle w:val="Compact"/>
        <w:numPr>
          <w:ilvl w:val="0"/>
          <w:numId w:val="1003"/>
        </w:numPr>
      </w:pPr>
      <w:r>
        <w:t xml:space="preserve">session identifiers stored in local storage;</w:t>
      </w:r>
    </w:p>
    <w:p>
      <w:pPr>
        <w:pStyle w:val="Compact"/>
        <w:numPr>
          <w:ilvl w:val="0"/>
          <w:numId w:val="1003"/>
        </w:numPr>
      </w:pPr>
      <w:r>
        <w:t xml:space="preserve">calculator and tool interactions;</w:t>
      </w:r>
    </w:p>
    <w:p>
      <w:pPr>
        <w:pStyle w:val="Compact"/>
        <w:numPr>
          <w:ilvl w:val="0"/>
          <w:numId w:val="1003"/>
        </w:numPr>
      </w:pPr>
      <w:r>
        <w:t xml:space="preserve">performance measurements such as page-load and responsiveness metrics; and</w:t>
      </w:r>
    </w:p>
    <w:p>
      <w:pPr>
        <w:pStyle w:val="Compact"/>
        <w:numPr>
          <w:ilvl w:val="0"/>
          <w:numId w:val="1003"/>
        </w:numPr>
      </w:pPr>
      <w:r>
        <w:t xml:space="preserve">campaign, source and referral information.</w:t>
      </w:r>
    </w:p>
    <w:p>
      <w:pPr>
        <w:pStyle w:val="FirstParagraph"/>
      </w:pPr>
      <w:r>
        <w:t xml:space="preserve">Where a calculator request is processed by our API, its inputs and generated outputs may be recorded in calculation history even if you do not separately choose “Save”. Signed-in users may also intentionally save calculations, projects, scenarios, documents and other tool activity.</w:t>
      </w:r>
    </w:p>
    <w:bookmarkEnd w:id="12"/>
    <w:bookmarkStart w:id="13" w:name="contact-and-support-data"/>
    <w:p>
      <w:pPr>
        <w:pStyle w:val="Heading3"/>
      </w:pPr>
      <w:r>
        <w:t xml:space="preserve">2.4 Contact and support data</w:t>
      </w:r>
    </w:p>
    <w:p>
      <w:pPr>
        <w:pStyle w:val="FirstParagraph"/>
      </w:pPr>
      <w:r>
        <w:t xml:space="preserve">If you contact us, we may collect your name, email address, subject, message, company or organisation, website, relevant page URL and information relating to your enquiry. Contact records may include a hashed IP address, user-agent and form timing or anti-spam signals.</w:t>
      </w:r>
    </w:p>
    <w:p>
      <w:pPr>
        <w:pStyle w:val="BodyText"/>
      </w:pPr>
      <w:r>
        <w:t xml:space="preserve">Please do not include passwords, bank account details, identity documents or other sensitive information unless we specifically request it through an appropriate secure process.</w:t>
      </w:r>
    </w:p>
    <w:bookmarkEnd w:id="13"/>
    <w:bookmarkStart w:id="14" w:name="newsletter-and-communication-data"/>
    <w:p>
      <w:pPr>
        <w:pStyle w:val="Heading3"/>
      </w:pPr>
      <w:r>
        <w:t xml:space="preserve">2.5 Newsletter and communication data</w:t>
      </w:r>
    </w:p>
    <w:p>
      <w:pPr>
        <w:pStyle w:val="FirstParagraph"/>
      </w:pPr>
      <w:r>
        <w:t xml:space="preserve">If you subscribe to the Varnarc newsletter, we collect your email address, subscription source, status and subscription or unsubscription timestamps. We also record relevant communication preferences. You can unsubscribe using the link in an email or through the newsletter management page.</w:t>
      </w:r>
    </w:p>
    <w:bookmarkEnd w:id="14"/>
    <w:bookmarkStart w:id="15" w:name="user-content-and-public-contributions"/>
    <w:p>
      <w:pPr>
        <w:pStyle w:val="Heading3"/>
      </w:pPr>
      <w:r>
        <w:t xml:space="preserve">2.6 User content and public contributions</w:t>
      </w:r>
    </w:p>
    <w:p>
      <w:pPr>
        <w:pStyle w:val="FirstParagraph"/>
      </w:pPr>
      <w:r>
        <w:t xml:space="preserve">If you submit a review, article comment, business or service-provider listing, community price report, lead request or other contribution, we process the content and related account information. Depending on the feature and your visibility settings, approved content and selected profile or business information may be displayed publicly.</w:t>
      </w:r>
    </w:p>
    <w:p>
      <w:pPr>
        <w:pStyle w:val="BodyText"/>
      </w:pPr>
      <w:r>
        <w:t xml:space="preserve">Do not publish personal data about another person unless you are authorised to do so.</w:t>
      </w:r>
    </w:p>
    <w:bookmarkEnd w:id="15"/>
    <w:bookmarkStart w:id="16" w:name="files-and-uploads"/>
    <w:p>
      <w:pPr>
        <w:pStyle w:val="Heading3"/>
      </w:pPr>
      <w:r>
        <w:t xml:space="preserve">2.7 Files and uploads</w:t>
      </w:r>
    </w:p>
    <w:p>
      <w:pPr>
        <w:pStyle w:val="FirstParagraph"/>
      </w:pPr>
      <w:r>
        <w:t xml:space="preserve">We may process files you choose to upload, such as:</w:t>
      </w:r>
    </w:p>
    <w:p>
      <w:pPr>
        <w:pStyle w:val="Compact"/>
        <w:numPr>
          <w:ilvl w:val="0"/>
          <w:numId w:val="1004"/>
        </w:numPr>
      </w:pPr>
      <w:r>
        <w:t xml:space="preserve">profile images;</w:t>
      </w:r>
    </w:p>
    <w:p>
      <w:pPr>
        <w:pStyle w:val="Compact"/>
        <w:numPr>
          <w:ilvl w:val="0"/>
          <w:numId w:val="1004"/>
        </w:numPr>
      </w:pPr>
      <w:r>
        <w:t xml:space="preserve">listing or media images;</w:t>
      </w:r>
    </w:p>
    <w:p>
      <w:pPr>
        <w:pStyle w:val="Compact"/>
        <w:numPr>
          <w:ilvl w:val="0"/>
          <w:numId w:val="1004"/>
        </w:numPr>
      </w:pPr>
      <w:r>
        <w:t xml:space="preserve">construction documents;</w:t>
      </w:r>
    </w:p>
    <w:p>
      <w:pPr>
        <w:pStyle w:val="Compact"/>
        <w:numPr>
          <w:ilvl w:val="0"/>
          <w:numId w:val="1004"/>
        </w:numPr>
      </w:pPr>
      <w:r>
        <w:t xml:space="preserve">invoices or evidence submitted with community price reports; and</w:t>
      </w:r>
    </w:p>
    <w:p>
      <w:pPr>
        <w:pStyle w:val="Compact"/>
        <w:numPr>
          <w:ilvl w:val="0"/>
          <w:numId w:val="1004"/>
        </w:numPr>
      </w:pPr>
      <w:r>
        <w:t xml:space="preserve">other supported documents or media.</w:t>
      </w:r>
    </w:p>
    <w:p>
      <w:pPr>
        <w:pStyle w:val="FirstParagraph"/>
      </w:pPr>
      <w:r>
        <w:t xml:space="preserve">Some uploads are intended for public display, while account documents and similar files may be restricted to authorised users. Review the relevant feature before uploading confidential material.</w:t>
      </w:r>
    </w:p>
    <w:bookmarkEnd w:id="16"/>
    <w:bookmarkStart w:id="17" w:name="ai-feature-data"/>
    <w:p>
      <w:pPr>
        <w:pStyle w:val="Heading3"/>
      </w:pPr>
      <w:r>
        <w:t xml:space="preserve">2.8 AI feature data</w:t>
      </w:r>
    </w:p>
    <w:p>
      <w:pPr>
        <w:pStyle w:val="FirstParagraph"/>
      </w:pPr>
      <w:r>
        <w:t xml:space="preserve">When you use an AI-assisted feature, we may send the text, calculator inputs and outputs, prompts, chat history, page or image context, or other information needed to answer your request to a configured third-party AI provider. We may also retain AI job inputs, outputs, status and diagnostic information to operate, secure and improve the feature.</w:t>
      </w:r>
    </w:p>
    <w:p>
      <w:pPr>
        <w:pStyle w:val="BodyText"/>
      </w:pPr>
      <w:r>
        <w:t xml:space="preserve">Do not enter confidential, sensitive or regulated personal data into AI features. AI-provider use of submitted data is also governed by the provider’s applicable terms and privacy commitments.</w:t>
      </w:r>
    </w:p>
    <w:bookmarkEnd w:id="17"/>
    <w:bookmarkStart w:id="18" w:name="X6490277fb609f8537eff462628c4c9144254dde"/>
    <w:p>
      <w:pPr>
        <w:pStyle w:val="Heading3"/>
      </w:pPr>
      <w:r>
        <w:t xml:space="preserve">2.9 Advertising, affiliate and transaction data</w:t>
      </w:r>
    </w:p>
    <w:p>
      <w:pPr>
        <w:pStyle w:val="FirstParagraph"/>
      </w:pPr>
      <w:r>
        <w:t xml:space="preserve">We may process advertising impressions, clicks, page context, referral information and affiliate interactions. Varnarc may display Google AdSense, direct advertising, sponsored placements or affiliate links.</w:t>
      </w:r>
    </w:p>
    <w:p>
      <w:pPr>
        <w:pStyle w:val="BodyText"/>
      </w:pPr>
      <w:r>
        <w:t xml:space="preserve">If paid membership or premium functionality is enabled in the future, we may process subscription, invoice and payment-status records. We will identify any external payment processor and update this Policy before collecting live payment credentials. Varnarc does not currently intend to store complete payment-card details directly.</w:t>
      </w:r>
    </w:p>
    <w:bookmarkEnd w:id="18"/>
    <w:bookmarkEnd w:id="19"/>
    <w:bookmarkStart w:id="20" w:name="how-we-use-personal-data"/>
    <w:p>
      <w:pPr>
        <w:pStyle w:val="Heading2"/>
      </w:pPr>
      <w:r>
        <w:t xml:space="preserve">3. How we use personal data</w:t>
      </w:r>
    </w:p>
    <w:p>
      <w:pPr>
        <w:pStyle w:val="FirstParagraph"/>
      </w:pPr>
      <w:r>
        <w:t xml:space="preserve">We use personal data to:</w:t>
      </w:r>
    </w:p>
    <w:p>
      <w:pPr>
        <w:pStyle w:val="Compact"/>
        <w:numPr>
          <w:ilvl w:val="0"/>
          <w:numId w:val="1005"/>
        </w:numPr>
      </w:pPr>
      <w:r>
        <w:t xml:space="preserve">create, authenticate, secure and administer accounts;</w:t>
      </w:r>
    </w:p>
    <w:p>
      <w:pPr>
        <w:pStyle w:val="Compact"/>
        <w:numPr>
          <w:ilvl w:val="0"/>
          <w:numId w:val="1005"/>
        </w:numPr>
      </w:pPr>
      <w:r>
        <w:t xml:space="preserve">provide calculators, guides, comparisons, directories and other requested features;</w:t>
      </w:r>
    </w:p>
    <w:p>
      <w:pPr>
        <w:pStyle w:val="Compact"/>
        <w:numPr>
          <w:ilvl w:val="0"/>
          <w:numId w:val="1005"/>
        </w:numPr>
      </w:pPr>
      <w:r>
        <w:t xml:space="preserve">save preferences, bookmarks, activity, calculations and projects;</w:t>
      </w:r>
    </w:p>
    <w:p>
      <w:pPr>
        <w:pStyle w:val="Compact"/>
        <w:numPr>
          <w:ilvl w:val="0"/>
          <w:numId w:val="1005"/>
        </w:numPr>
      </w:pPr>
      <w:r>
        <w:t xml:space="preserve">respond to contact, correction, privacy, support and business enquiries;</w:t>
      </w:r>
    </w:p>
    <w:p>
      <w:pPr>
        <w:pStyle w:val="Compact"/>
        <w:numPr>
          <w:ilvl w:val="0"/>
          <w:numId w:val="1005"/>
        </w:numPr>
      </w:pPr>
      <w:r>
        <w:t xml:space="preserve">administer newsletter subscriptions and send requested communications;</w:t>
      </w:r>
    </w:p>
    <w:p>
      <w:pPr>
        <w:pStyle w:val="Compact"/>
        <w:numPr>
          <w:ilvl w:val="0"/>
          <w:numId w:val="1005"/>
        </w:numPr>
      </w:pPr>
      <w:r>
        <w:t xml:space="preserve">review, moderate and publish eligible user contributions;</w:t>
      </w:r>
    </w:p>
    <w:p>
      <w:pPr>
        <w:pStyle w:val="Compact"/>
        <w:numPr>
          <w:ilvl w:val="0"/>
          <w:numId w:val="1005"/>
        </w:numPr>
      </w:pPr>
      <w:r>
        <w:t xml:space="preserve">process uploads and make files available as intended;</w:t>
      </w:r>
    </w:p>
    <w:p>
      <w:pPr>
        <w:pStyle w:val="Compact"/>
        <w:numPr>
          <w:ilvl w:val="0"/>
          <w:numId w:val="1005"/>
        </w:numPr>
      </w:pPr>
      <w:r>
        <w:t xml:space="preserve">provide AI-assisted functions requested by users;</w:t>
      </w:r>
    </w:p>
    <w:p>
      <w:pPr>
        <w:pStyle w:val="Compact"/>
        <w:numPr>
          <w:ilvl w:val="0"/>
          <w:numId w:val="1005"/>
        </w:numPr>
      </w:pPr>
      <w:r>
        <w:t xml:space="preserve">personalise and improve the usability, reliability and performance of the Services;</w:t>
      </w:r>
    </w:p>
    <w:p>
      <w:pPr>
        <w:pStyle w:val="Compact"/>
        <w:numPr>
          <w:ilvl w:val="0"/>
          <w:numId w:val="1005"/>
        </w:numPr>
      </w:pPr>
      <w:r>
        <w:t xml:space="preserve">measure traffic, engagement, advertising and feature performance;</w:t>
      </w:r>
    </w:p>
    <w:p>
      <w:pPr>
        <w:pStyle w:val="Compact"/>
        <w:numPr>
          <w:ilvl w:val="0"/>
          <w:numId w:val="1005"/>
        </w:numPr>
      </w:pPr>
      <w:r>
        <w:t xml:space="preserve">prevent spam, fraud, abuse and security incidents;</w:t>
      </w:r>
    </w:p>
    <w:p>
      <w:pPr>
        <w:pStyle w:val="Compact"/>
        <w:numPr>
          <w:ilvl w:val="0"/>
          <w:numId w:val="1005"/>
        </w:numPr>
      </w:pPr>
      <w:r>
        <w:t xml:space="preserve">maintain logs, audits and business records;</w:t>
      </w:r>
    </w:p>
    <w:p>
      <w:pPr>
        <w:pStyle w:val="Compact"/>
        <w:numPr>
          <w:ilvl w:val="0"/>
          <w:numId w:val="1005"/>
        </w:numPr>
      </w:pPr>
      <w:r>
        <w:t xml:space="preserve">comply with legal obligations and valid government requests; and</w:t>
      </w:r>
    </w:p>
    <w:p>
      <w:pPr>
        <w:pStyle w:val="Compact"/>
        <w:numPr>
          <w:ilvl w:val="0"/>
          <w:numId w:val="1005"/>
        </w:numPr>
      </w:pPr>
      <w:r>
        <w:t xml:space="preserve">establish, exercise or defend legal claims.</w:t>
      </w:r>
    </w:p>
    <w:p>
      <w:pPr>
        <w:pStyle w:val="FirstParagraph"/>
      </w:pPr>
      <w:r>
        <w:t xml:space="preserve">Under the DPDP Act, we process personal data with your consent or for permitted legitimate uses and other lawful purposes. You may withdraw consent where processing is based on consent, but withdrawal will not affect processing already carried out lawfully. Some Services may stop working if the necessary data can no longer be processed.</w:t>
      </w:r>
    </w:p>
    <w:bookmarkEnd w:id="20"/>
    <w:bookmarkStart w:id="21" w:name="X7f233e26267ea06b6ca6e95806202adf7851c81"/>
    <w:p>
      <w:pPr>
        <w:pStyle w:val="Heading2"/>
      </w:pPr>
      <w:r>
        <w:t xml:space="preserve">4. Cookies, local storage and similar technologies</w:t>
      </w:r>
    </w:p>
    <w:p>
      <w:pPr>
        <w:pStyle w:val="FirstParagraph"/>
      </w:pPr>
      <w:r>
        <w:t xml:space="preserve">Varnarc uses cookies, local storage and similar technologies for authentication, security, preferences, analytics, performance and advertising.</w:t>
      </w:r>
    </w:p>
    <w:p>
      <w:pPr>
        <w:pStyle w:val="BodyText"/>
      </w:pPr>
      <w:r>
        <w:t xml:space="preserve">We use a consent-management platform to present available choices for categories such as preferences, functionality, analytics, performance and marketing. Where required, optional third-party analytics and advertising features are controlled through these choices. You can revisit your consent choices through the cookie or privacy preferences control made available on the site. You can also manage cookies through your browser, although blocking necessary storage may affect site functionality.</w:t>
      </w:r>
    </w:p>
    <w:p>
      <w:pPr>
        <w:pStyle w:val="BodyText"/>
      </w:pPr>
      <w:r>
        <w:t xml:space="preserve">Some first-party operational analytics, security records and performance measurements may be processed independently of optional third-party cookie consent where necessary to operate, protect and diagnose the Services.</w:t>
      </w:r>
    </w:p>
    <w:p>
      <w:pPr>
        <w:pStyle w:val="BodyText"/>
      </w:pPr>
      <w:r>
        <w:t xml:space="preserve">Third-party technologies that may be enabled include Google Analytics, Microsoft Clarity, Plausible Analytics and Google AdSense. The integrations active at a particular time depend on our configuration and your available consent choices.</w:t>
      </w:r>
    </w:p>
    <w:bookmarkEnd w:id="21"/>
    <w:bookmarkStart w:id="22" w:name="advertising-and-affiliate-links"/>
    <w:p>
      <w:pPr>
        <w:pStyle w:val="Heading2"/>
      </w:pPr>
      <w:r>
        <w:t xml:space="preserve">5. Advertising and affiliate links</w:t>
      </w:r>
    </w:p>
    <w:p>
      <w:pPr>
        <w:pStyle w:val="FirstParagraph"/>
      </w:pPr>
      <w:r>
        <w:t xml:space="preserve">Varnarc may show contextual or personalised advertising and may receive compensation from advertising, affiliate or sponsored relationships. Advertising providers may process device identifiers, IP address, browser information, page activity and advertising interactions as described in their own policies and subject to applicable consent requirements.</w:t>
      </w:r>
    </w:p>
    <w:p>
      <w:pPr>
        <w:pStyle w:val="BodyText"/>
      </w:pPr>
      <w:r>
        <w:t xml:space="preserve">We do not sell personal data in exchange for money. However, disclosures to advertising or analytics providers may be treated as “sharing”, targeted advertising or a similar regulated activity in some jurisdictions. Where applicable, we provide consent or opt-out controls.</w:t>
      </w:r>
    </w:p>
    <w:bookmarkEnd w:id="22"/>
    <w:bookmarkStart w:id="23" w:name="when-we-share-personal-data"/>
    <w:p>
      <w:pPr>
        <w:pStyle w:val="Heading2"/>
      </w:pPr>
      <w:r>
        <w:t xml:space="preserve">6. When we share personal data</w:t>
      </w:r>
    </w:p>
    <w:p>
      <w:pPr>
        <w:pStyle w:val="FirstParagraph"/>
      </w:pPr>
      <w:r>
        <w:t xml:space="preserve">We may share personal data only as reasonably necessary with:</w:t>
      </w:r>
    </w:p>
    <w:p>
      <w:pPr>
        <w:pStyle w:val="Compact"/>
        <w:numPr>
          <w:ilvl w:val="0"/>
          <w:numId w:val="1006"/>
        </w:numPr>
      </w:pPr>
      <w:r>
        <w:rPr>
          <w:b/>
          <w:bCs/>
        </w:rPr>
        <w:t xml:space="preserve">identity providers</w:t>
      </w:r>
      <w:r>
        <w:t xml:space="preserve">, including Auth0, for account authentication;</w:t>
      </w:r>
    </w:p>
    <w:p>
      <w:pPr>
        <w:pStyle w:val="Compact"/>
        <w:numPr>
          <w:ilvl w:val="0"/>
          <w:numId w:val="1006"/>
        </w:numPr>
      </w:pPr>
      <w:r>
        <w:rPr>
          <w:b/>
          <w:bCs/>
        </w:rPr>
        <w:t xml:space="preserve">hosting and infrastructure providers</w:t>
      </w:r>
      <w:r>
        <w:t xml:space="preserve">, including cloud hosting, database, storage, caching, search and content-delivery providers;</w:t>
      </w:r>
    </w:p>
    <w:p>
      <w:pPr>
        <w:pStyle w:val="Compact"/>
        <w:numPr>
          <w:ilvl w:val="0"/>
          <w:numId w:val="1006"/>
        </w:numPr>
      </w:pPr>
      <w:r>
        <w:rPr>
          <w:b/>
          <w:bCs/>
        </w:rPr>
        <w:t xml:space="preserve">email providers</w:t>
      </w:r>
      <w:r>
        <w:t xml:space="preserve">, including Resend, Google Workspace or another configured SMTP provider;</w:t>
      </w:r>
    </w:p>
    <w:p>
      <w:pPr>
        <w:pStyle w:val="Compact"/>
        <w:numPr>
          <w:ilvl w:val="0"/>
          <w:numId w:val="1006"/>
        </w:numPr>
      </w:pPr>
      <w:r>
        <w:rPr>
          <w:b/>
          <w:bCs/>
        </w:rPr>
        <w:t xml:space="preserve">analytics and performance providers</w:t>
      </w:r>
      <w:r>
        <w:t xml:space="preserve">, which may include Google Analytics, Microsoft Clarity and Plausible;</w:t>
      </w:r>
    </w:p>
    <w:p>
      <w:pPr>
        <w:pStyle w:val="Compact"/>
        <w:numPr>
          <w:ilvl w:val="0"/>
          <w:numId w:val="1006"/>
        </w:numPr>
      </w:pPr>
      <w:r>
        <w:rPr>
          <w:b/>
          <w:bCs/>
        </w:rPr>
        <w:t xml:space="preserve">advertising and affiliate providers</w:t>
      </w:r>
      <w:r>
        <w:t xml:space="preserve">, including Google AdSense and relevant affiliate networks;</w:t>
      </w:r>
    </w:p>
    <w:p>
      <w:pPr>
        <w:pStyle w:val="Compact"/>
        <w:numPr>
          <w:ilvl w:val="0"/>
          <w:numId w:val="1006"/>
        </w:numPr>
      </w:pPr>
      <w:r>
        <w:rPr>
          <w:b/>
          <w:bCs/>
        </w:rPr>
        <w:t xml:space="preserve">AI providers</w:t>
      </w:r>
      <w:r>
        <w:t xml:space="preserve">, including configured Gemini, OpenAI-compatible or other language-model services, when you invoke an AI feature;</w:t>
      </w:r>
    </w:p>
    <w:p>
      <w:pPr>
        <w:pStyle w:val="Compact"/>
        <w:numPr>
          <w:ilvl w:val="0"/>
          <w:numId w:val="1006"/>
        </w:numPr>
      </w:pPr>
      <w:r>
        <w:rPr>
          <w:b/>
          <w:bCs/>
        </w:rPr>
        <w:t xml:space="preserve">consent-management providers</w:t>
      </w:r>
      <w:r>
        <w:t xml:space="preserve">, to record and apply your privacy choices;</w:t>
      </w:r>
    </w:p>
    <w:p>
      <w:pPr>
        <w:pStyle w:val="Compact"/>
        <w:numPr>
          <w:ilvl w:val="0"/>
          <w:numId w:val="1006"/>
        </w:numPr>
      </w:pPr>
      <w:r>
        <w:rPr>
          <w:b/>
          <w:bCs/>
        </w:rPr>
        <w:t xml:space="preserve">professional advisers and service providers</w:t>
      </w:r>
      <w:r>
        <w:t xml:space="preserve">, such as legal, accounting, security and support providers;</w:t>
      </w:r>
    </w:p>
    <w:p>
      <w:pPr>
        <w:pStyle w:val="Compact"/>
        <w:numPr>
          <w:ilvl w:val="0"/>
          <w:numId w:val="1006"/>
        </w:numPr>
      </w:pPr>
      <w:r>
        <w:rPr>
          <w:b/>
          <w:bCs/>
        </w:rPr>
        <w:t xml:space="preserve">authorities or other parties</w:t>
      </w:r>
      <w:r>
        <w:t xml:space="preserve">, where required by law or necessary to protect rights, safety and security; and</w:t>
      </w:r>
    </w:p>
    <w:p>
      <w:pPr>
        <w:pStyle w:val="Compact"/>
        <w:numPr>
          <w:ilvl w:val="0"/>
          <w:numId w:val="1006"/>
        </w:numPr>
      </w:pPr>
      <w:r>
        <w:rPr>
          <w:b/>
          <w:bCs/>
        </w:rPr>
        <w:t xml:space="preserve">a successor organisation</w:t>
      </w:r>
      <w:r>
        <w:t xml:space="preserve">, in connection with a merger, acquisition, financing, reorganisation or sale of all or part of the business, subject to appropriate safeguards.</w:t>
      </w:r>
    </w:p>
    <w:p>
      <w:pPr>
        <w:pStyle w:val="FirstParagraph"/>
      </w:pPr>
      <w:r>
        <w:t xml:space="preserve">We do not authorise service providers to use personal data for their own unrelated purposes.</w:t>
      </w:r>
    </w:p>
    <w:bookmarkEnd w:id="23"/>
    <w:bookmarkStart w:id="24" w:name="international-processing"/>
    <w:p>
      <w:pPr>
        <w:pStyle w:val="Heading2"/>
      </w:pPr>
      <w:r>
        <w:t xml:space="preserve">7. International processing</w:t>
      </w:r>
    </w:p>
    <w:p>
      <w:pPr>
        <w:pStyle w:val="FirstParagraph"/>
      </w:pPr>
      <w:r>
        <w:t xml:space="preserve">Varnarc and its service providers may process or store personal data in India and other countries where they operate. Those countries may have different data-protection laws. Where required, we use contractual, organisational or other lawful safeguards for cross-border processing and comply with restrictions notified under applicable Indian law.</w:t>
      </w:r>
    </w:p>
    <w:bookmarkEnd w:id="24"/>
    <w:bookmarkStart w:id="25" w:name="public-information"/>
    <w:p>
      <w:pPr>
        <w:pStyle w:val="Heading2"/>
      </w:pPr>
      <w:r>
        <w:t xml:space="preserve">8. Public information</w:t>
      </w:r>
    </w:p>
    <w:p>
      <w:pPr>
        <w:pStyle w:val="FirstParagraph"/>
      </w:pPr>
      <w:r>
        <w:t xml:space="preserve">Content or profile information you choose to make public may be viewed, copied, indexed or shared by others. This can include public profiles, approved reviews, comments, listings, community submissions and associated display names. Changing visibility or deleting content may not immediately remove copies from search-engine caches, backups or third-party records.</w:t>
      </w:r>
    </w:p>
    <w:bookmarkEnd w:id="25"/>
    <w:bookmarkStart w:id="26" w:name="data-retention"/>
    <w:p>
      <w:pPr>
        <w:pStyle w:val="Heading2"/>
      </w:pPr>
      <w:r>
        <w:t xml:space="preserve">9. Data retention</w:t>
      </w:r>
    </w:p>
    <w:p>
      <w:pPr>
        <w:pStyle w:val="FirstParagraph"/>
      </w:pPr>
      <w:r>
        <w:t xml:space="preserve">We retain personal data only for as long as reasonably necessary for the purposes described in this Policy, including providing the Services, maintaining security and audit records, resolving disputes and meeting legal obligations.</w:t>
      </w:r>
    </w:p>
    <w:p>
      <w:pPr>
        <w:pStyle w:val="BodyText"/>
      </w:pPr>
      <w:r>
        <w:t xml:space="preserve">Retention depends on the type of data and context:</w:t>
      </w:r>
    </w:p>
    <w:p>
      <w:pPr>
        <w:pStyle w:val="Compact"/>
        <w:numPr>
          <w:ilvl w:val="0"/>
          <w:numId w:val="1007"/>
        </w:numPr>
      </w:pPr>
      <w:r>
        <w:t xml:space="preserve">certain API request logs are scheduled for deletion after approximately 14 days;</w:t>
      </w:r>
    </w:p>
    <w:p>
      <w:pPr>
        <w:pStyle w:val="Compact"/>
        <w:numPr>
          <w:ilvl w:val="0"/>
          <w:numId w:val="1007"/>
        </w:numPr>
      </w:pPr>
      <w:r>
        <w:t xml:space="preserve">account and profile data is generally retained while the account remains active;</w:t>
      </w:r>
    </w:p>
    <w:p>
      <w:pPr>
        <w:pStyle w:val="Compact"/>
        <w:numPr>
          <w:ilvl w:val="0"/>
          <w:numId w:val="1007"/>
        </w:numPr>
      </w:pPr>
      <w:r>
        <w:t xml:space="preserve">contact messages, audit records, analytics, calculation history and security records are retained according to operational, safety and legal needs;</w:t>
      </w:r>
    </w:p>
    <w:p>
      <w:pPr>
        <w:pStyle w:val="Compact"/>
        <w:numPr>
          <w:ilvl w:val="0"/>
          <w:numId w:val="1007"/>
        </w:numPr>
      </w:pPr>
      <w:r>
        <w:t xml:space="preserve">newsletter records may be retained after unsubscription to honour the opt-out and prevent unwanted re-enrolment;</w:t>
      </w:r>
    </w:p>
    <w:p>
      <w:pPr>
        <w:pStyle w:val="Compact"/>
        <w:numPr>
          <w:ilvl w:val="0"/>
          <w:numId w:val="1007"/>
        </w:numPr>
      </w:pPr>
      <w:r>
        <w:t xml:space="preserve">public contributions may remain until removed, rejected or deleted under the applicable feature;</w:t>
      </w:r>
    </w:p>
    <w:p>
      <w:pPr>
        <w:pStyle w:val="Compact"/>
        <w:numPr>
          <w:ilvl w:val="0"/>
          <w:numId w:val="1007"/>
        </w:numPr>
      </w:pPr>
      <w:r>
        <w:t xml:space="preserve">deleted data may remain temporarily in backups, archives or fraud-prevention records; and</w:t>
      </w:r>
    </w:p>
    <w:p>
      <w:pPr>
        <w:pStyle w:val="Compact"/>
        <w:numPr>
          <w:ilvl w:val="0"/>
          <w:numId w:val="1007"/>
        </w:numPr>
      </w:pPr>
      <w:r>
        <w:t xml:space="preserve">where no fixed deletion schedule is currently configured, we periodically assess whether continued retention is necessary.</w:t>
      </w:r>
    </w:p>
    <w:p>
      <w:pPr>
        <w:pStyle w:val="FirstParagraph"/>
      </w:pPr>
      <w:r>
        <w:t xml:space="preserve">We may anonymise or aggregate data so that it no longer identifies you and retain that information for analytics, research or service improvement.</w:t>
      </w:r>
    </w:p>
    <w:bookmarkEnd w:id="26"/>
    <w:bookmarkStart w:id="27" w:name="data-security"/>
    <w:p>
      <w:pPr>
        <w:pStyle w:val="Heading2"/>
      </w:pPr>
      <w:r>
        <w:t xml:space="preserve">10. Data security</w:t>
      </w:r>
    </w:p>
    <w:p>
      <w:pPr>
        <w:pStyle w:val="FirstParagraph"/>
      </w:pPr>
      <w:r>
        <w:t xml:space="preserve">We use reasonable technical and organisational measures designed to protect personal data, including access controls, authentication, transport encryption, restricted administration, validation, monitoring and anti-abuse controls.</w:t>
      </w:r>
    </w:p>
    <w:p>
      <w:pPr>
        <w:pStyle w:val="BodyText"/>
      </w:pPr>
      <w:r>
        <w:t xml:space="preserve">No method of transmission or storage is completely secure. You are responsible for protecting your account credentials and should notify us promptly if you suspect unauthorised access.</w:t>
      </w:r>
    </w:p>
    <w:bookmarkEnd w:id="27"/>
    <w:bookmarkStart w:id="28" w:name="your-choices-and-rights"/>
    <w:p>
      <w:pPr>
        <w:pStyle w:val="Heading2"/>
      </w:pPr>
      <w:r>
        <w:t xml:space="preserve">11. Your choices and rights</w:t>
      </w:r>
    </w:p>
    <w:p>
      <w:pPr>
        <w:pStyle w:val="FirstParagraph"/>
      </w:pPr>
      <w:r>
        <w:t xml:space="preserve">Subject to the DPDP Act and other applicable law, you may have the right to:</w:t>
      </w:r>
    </w:p>
    <w:p>
      <w:pPr>
        <w:pStyle w:val="Compact"/>
        <w:numPr>
          <w:ilvl w:val="0"/>
          <w:numId w:val="1008"/>
        </w:numPr>
      </w:pPr>
      <w:r>
        <w:t xml:space="preserve">obtain information about how your personal data is processed;</w:t>
      </w:r>
    </w:p>
    <w:p>
      <w:pPr>
        <w:pStyle w:val="Compact"/>
        <w:numPr>
          <w:ilvl w:val="0"/>
          <w:numId w:val="1008"/>
        </w:numPr>
      </w:pPr>
      <w:r>
        <w:t xml:space="preserve">request access to or a summary of personal data associated with you;</w:t>
      </w:r>
    </w:p>
    <w:p>
      <w:pPr>
        <w:pStyle w:val="Compact"/>
        <w:numPr>
          <w:ilvl w:val="0"/>
          <w:numId w:val="1008"/>
        </w:numPr>
      </w:pPr>
      <w:r>
        <w:t xml:space="preserve">request correction, completion or updating of inaccurate data;</w:t>
      </w:r>
    </w:p>
    <w:p>
      <w:pPr>
        <w:pStyle w:val="Compact"/>
        <w:numPr>
          <w:ilvl w:val="0"/>
          <w:numId w:val="1008"/>
        </w:numPr>
      </w:pPr>
      <w:r>
        <w:t xml:space="preserve">request erasure of personal data that is no longer required, subject to lawful exceptions;</w:t>
      </w:r>
    </w:p>
    <w:p>
      <w:pPr>
        <w:pStyle w:val="Compact"/>
        <w:numPr>
          <w:ilvl w:val="0"/>
          <w:numId w:val="1008"/>
        </w:numPr>
      </w:pPr>
      <w:r>
        <w:t xml:space="preserve">withdraw consent for consent-based processing;</w:t>
      </w:r>
    </w:p>
    <w:p>
      <w:pPr>
        <w:pStyle w:val="Compact"/>
        <w:numPr>
          <w:ilvl w:val="0"/>
          <w:numId w:val="1008"/>
        </w:numPr>
      </w:pPr>
      <w:r>
        <w:t xml:space="preserve">opt out of newsletter communications;</w:t>
      </w:r>
    </w:p>
    <w:p>
      <w:pPr>
        <w:pStyle w:val="Compact"/>
        <w:numPr>
          <w:ilvl w:val="0"/>
          <w:numId w:val="1008"/>
        </w:numPr>
      </w:pPr>
      <w:r>
        <w:t xml:space="preserve">change available cookie and consent preferences;</w:t>
      </w:r>
    </w:p>
    <w:p>
      <w:pPr>
        <w:pStyle w:val="Compact"/>
        <w:numPr>
          <w:ilvl w:val="0"/>
          <w:numId w:val="1008"/>
        </w:numPr>
      </w:pPr>
      <w:r>
        <w:t xml:space="preserve">manage or delete certain bookmarks, history, calculations, projects, reviews and profile information through your account;</w:t>
      </w:r>
    </w:p>
    <w:p>
      <w:pPr>
        <w:pStyle w:val="Compact"/>
        <w:numPr>
          <w:ilvl w:val="0"/>
          <w:numId w:val="1008"/>
        </w:numPr>
      </w:pPr>
      <w:r>
        <w:t xml:space="preserve">nominate another individual to exercise applicable rights in the event of death or incapacity; and</w:t>
      </w:r>
    </w:p>
    <w:p>
      <w:pPr>
        <w:pStyle w:val="Compact"/>
        <w:numPr>
          <w:ilvl w:val="0"/>
          <w:numId w:val="1008"/>
        </w:numPr>
      </w:pPr>
      <w:r>
        <w:t xml:space="preserve">raise a grievance with Varnarc and, where applicable, the Data Protection Board of India.</w:t>
      </w:r>
    </w:p>
    <w:p>
      <w:pPr>
        <w:pStyle w:val="FirstParagraph"/>
      </w:pPr>
      <w:r>
        <w:t xml:space="preserve">Varnarc does not currently provide a complete self-service account deletion or data export tool. To exercise a privacy right, visit</w:t>
      </w:r>
      <w:r>
        <w:t xml:space="preserve"> </w:t>
      </w:r>
      <w:r>
        <w:rPr>
          <w:rStyle w:val="VerbatimChar"/>
        </w:rPr>
        <w:t xml:space="preserve">https://varnarc.com/contact?type=privacy</w:t>
      </w:r>
      <w:r>
        <w:t xml:space="preserve"> </w:t>
      </w:r>
      <w:r>
        <w:t xml:space="preserve">or email</w:t>
      </w:r>
      <w:r>
        <w:t xml:space="preserve"> </w:t>
      </w:r>
      <w:r>
        <w:rPr>
          <w:b/>
          <w:bCs/>
        </w:rPr>
        <w:t xml:space="preserve">business@varnarc.com</w:t>
      </w:r>
      <w:r>
        <w:t xml:space="preserve">. We may need to verify your identity before acting on a request. We will respond within the period required by applicable law.</w:t>
      </w:r>
    </w:p>
    <w:p>
      <w:pPr>
        <w:pStyle w:val="BodyText"/>
      </w:pPr>
      <w:r>
        <w:t xml:space="preserve">You should provide accurate information, avoid impersonating another person and use grievance or rights mechanisms responsibly.</w:t>
      </w:r>
    </w:p>
    <w:bookmarkEnd w:id="28"/>
    <w:bookmarkStart w:id="29" w:name="newsletter-communications"/>
    <w:p>
      <w:pPr>
        <w:pStyle w:val="Heading2"/>
      </w:pPr>
      <w:r>
        <w:t xml:space="preserve">12. Newsletter communications</w:t>
      </w:r>
    </w:p>
    <w:p>
      <w:pPr>
        <w:pStyle w:val="FirstParagraph"/>
      </w:pPr>
      <w:r>
        <w:t xml:space="preserve">Newsletter subscription is voluntary. The current service uses a single-step subscription process and may send a confirmation or status email. You may unsubscribe at any time using the unsubscribe link in an email or the newsletter management page. Transactional, security or rights-request messages are not marketing communications.</w:t>
      </w:r>
    </w:p>
    <w:bookmarkEnd w:id="29"/>
    <w:bookmarkStart w:id="30" w:name="childrens-privacy"/>
    <w:p>
      <w:pPr>
        <w:pStyle w:val="Heading2"/>
      </w:pPr>
      <w:r>
        <w:t xml:space="preserve">13. Children’s privacy</w:t>
      </w:r>
    </w:p>
    <w:p>
      <w:pPr>
        <w:pStyle w:val="FirstParagraph"/>
      </w:pPr>
      <w:r>
        <w:t xml:space="preserve">The Services are intended for adults and are not directed to children under 18. We do not knowingly seek to process a child’s personal data without verifiable consent from a parent or lawful guardian where required by Indian law. If you believe a child has provided personal data improperly, contact us so that we can review and take appropriate action.</w:t>
      </w:r>
    </w:p>
    <w:p>
      <w:pPr>
        <w:pStyle w:val="BodyText"/>
      </w:pPr>
      <w:r>
        <w:t xml:space="preserve">We do not knowingly undertake tracking, behavioural monitoring or targeted advertising directed at children.</w:t>
      </w:r>
    </w:p>
    <w:bookmarkEnd w:id="30"/>
    <w:bookmarkStart w:id="31" w:name="automated-tools-and-ai-limitations"/>
    <w:p>
      <w:pPr>
        <w:pStyle w:val="Heading2"/>
      </w:pPr>
      <w:r>
        <w:t xml:space="preserve">14. Automated tools and AI limitations</w:t>
      </w:r>
    </w:p>
    <w:p>
      <w:pPr>
        <w:pStyle w:val="FirstParagraph"/>
      </w:pPr>
      <w:r>
        <w:t xml:space="preserve">AI-generated responses may be inaccurate and must not be treated as professional advice. Varnarc does not make decisions producing legal or similarly significant effects about users solely through the public AI tools currently described in the Services. We may use automated signals to detect spam, abuse or security threats and to prioritise content for moderation.</w:t>
      </w:r>
    </w:p>
    <w:bookmarkEnd w:id="31"/>
    <w:bookmarkStart w:id="32" w:name="third-party-links-and-embedded-services"/>
    <w:p>
      <w:pPr>
        <w:pStyle w:val="Heading2"/>
      </w:pPr>
      <w:r>
        <w:t xml:space="preserve">15. Third-party links and embedded services</w:t>
      </w:r>
    </w:p>
    <w:p>
      <w:pPr>
        <w:pStyle w:val="FirstParagraph"/>
      </w:pPr>
      <w:r>
        <w:t xml:space="preserve">The Services may link to lenders, insurers, merchants, professionals, advertisers, affiliate partners and other external services. Clicking an external link may allow the third party to collect information under its own privacy policy. Varnarc is not responsible for independent third-party privacy practices.</w:t>
      </w:r>
    </w:p>
    <w:bookmarkEnd w:id="32"/>
    <w:bookmarkStart w:id="33" w:name="changes-to-this-policy"/>
    <w:p>
      <w:pPr>
        <w:pStyle w:val="Heading2"/>
      </w:pPr>
      <w:r>
        <w:t xml:space="preserve">16. Changes to this Policy</w:t>
      </w:r>
    </w:p>
    <w:p>
      <w:pPr>
        <w:pStyle w:val="FirstParagraph"/>
      </w:pPr>
      <w:r>
        <w:t xml:space="preserve">We may update this Policy to reflect changes in the Services, providers, technology or law. We will publish the revised Policy with a new “Last updated” date. Where required, we will provide additional notice or obtain renewed consent.</w:t>
      </w:r>
    </w:p>
    <w:bookmarkEnd w:id="33"/>
    <w:bookmarkStart w:id="34" w:name="grievance-and-privacy-contact"/>
    <w:p>
      <w:pPr>
        <w:pStyle w:val="Heading2"/>
      </w:pPr>
      <w:r>
        <w:t xml:space="preserve">17. Grievance and privacy contact</w:t>
      </w:r>
    </w:p>
    <w:p>
      <w:pPr>
        <w:pStyle w:val="FirstParagraph"/>
      </w:pPr>
      <w:r>
        <w:t xml:space="preserve">For privacy questions, requests or grievances:</w:t>
      </w:r>
    </w:p>
    <w:p>
      <w:pPr>
        <w:pStyle w:val="Compact"/>
        <w:numPr>
          <w:ilvl w:val="0"/>
          <w:numId w:val="1009"/>
        </w:numPr>
      </w:pPr>
      <w:r>
        <w:rPr>
          <w:b/>
          <w:bCs/>
        </w:rPr>
        <w:t xml:space="preserve">Data Fiduciary:</w:t>
      </w:r>
      <w:r>
        <w:t xml:space="preserve"> </w:t>
      </w:r>
      <w:r>
        <w:t xml:space="preserve">Varnarc Private Limited, operating as Varnarc</w:t>
      </w:r>
    </w:p>
    <w:p>
      <w:pPr>
        <w:pStyle w:val="Compact"/>
        <w:numPr>
          <w:ilvl w:val="0"/>
          <w:numId w:val="1009"/>
        </w:numPr>
      </w:pPr>
      <w:r>
        <w:rPr>
          <w:b/>
          <w:bCs/>
        </w:rPr>
        <w:t xml:space="preserve">Email:</w:t>
      </w:r>
      <w:r>
        <w:t xml:space="preserve"> </w:t>
      </w:r>
      <w:r>
        <w:t xml:space="preserve">business@varnarc.com</w:t>
      </w:r>
    </w:p>
    <w:p>
      <w:pPr>
        <w:pStyle w:val="Compact"/>
        <w:numPr>
          <w:ilvl w:val="0"/>
          <w:numId w:val="1009"/>
        </w:numPr>
      </w:pPr>
      <w:r>
        <w:rPr>
          <w:b/>
          <w:bCs/>
        </w:rPr>
        <w:t xml:space="preserve">Privacy request form:</w:t>
      </w:r>
      <w:r>
        <w:t xml:space="preserve"> </w:t>
      </w:r>
      <w:r>
        <w:rPr>
          <w:rStyle w:val="VerbatimChar"/>
        </w:rPr>
        <w:t xml:space="preserve">https://varnarc.com/contact?type=privacy</w:t>
      </w:r>
    </w:p>
    <w:p>
      <w:pPr>
        <w:pStyle w:val="Compact"/>
        <w:numPr>
          <w:ilvl w:val="0"/>
          <w:numId w:val="1009"/>
        </w:numPr>
      </w:pPr>
      <w:r>
        <w:rPr>
          <w:b/>
          <w:bCs/>
        </w:rPr>
        <w:t xml:space="preserve">Website:</w:t>
      </w:r>
      <w:r>
        <w:t xml:space="preserve"> </w:t>
      </w:r>
      <w:r>
        <w:rPr>
          <w:rStyle w:val="VerbatimChar"/>
        </w:rPr>
        <w:t xml:space="preserve">https://varnarc.com</w:t>
      </w:r>
    </w:p>
    <w:p>
      <w:pPr>
        <w:pStyle w:val="Compact"/>
        <w:numPr>
          <w:ilvl w:val="0"/>
          <w:numId w:val="1009"/>
        </w:numPr>
      </w:pPr>
      <w:r>
        <w:rPr>
          <w:b/>
          <w:bCs/>
        </w:rPr>
        <w:t xml:space="preserve">Grievance Officer:</w:t>
      </w:r>
      <w:r>
        <w:t xml:space="preserve"> </w:t>
      </w:r>
      <w:r>
        <w:t xml:space="preserve">Grievance Officer, Varnarc Private Limited</w:t>
      </w:r>
    </w:p>
    <w:p>
      <w:pPr>
        <w:pStyle w:val="Compact"/>
        <w:numPr>
          <w:ilvl w:val="0"/>
          <w:numId w:val="1009"/>
        </w:numPr>
      </w:pPr>
      <w:r>
        <w:rPr>
          <w:b/>
          <w:bCs/>
        </w:rPr>
        <w:t xml:space="preserve">Postal address:</w:t>
      </w:r>
      <w:r>
        <w:t xml:space="preserve"> </w:t>
      </w:r>
      <w:r>
        <w:t xml:space="preserve">#153, Katha No. 1257, Property No. 9, 1st Cross, Hanumanth Nagar, Bilishivale Village, Bidarahalli Hobli, Bangalore East Taluk, Bangalore – 560077, Karnataka, India</w:t>
      </w:r>
    </w:p>
    <w:p>
      <w:pPr>
        <w:pStyle w:val="FirstParagraph"/>
      </w:pPr>
      <w:r>
        <w:t xml:space="preserve">If you are not satisfied with our response, you may have the right to approach the Data Protection Board of India in accordance with applicable law.</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2026-09-05T17:45:20Z</dcterms:created>
  <dcterms:modified xsi:type="dcterms:W3CDTF">2026-09-05T17:45:20Z</dcterms:modified>
</cp:coreProperties>
</file>

<file path=docProps/custom.xml><?xml version="1.0" encoding="utf-8"?>
<Properties xmlns="http://schemas.openxmlformats.org/officeDocument/2006/custom-properties" xmlns:vt="http://schemas.openxmlformats.org/officeDocument/2006/docPropsVTypes"/>
</file>