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62C9E" w14:textId="77777777" w:rsidR="005001A0" w:rsidRPr="005001A0" w:rsidRDefault="005001A0" w:rsidP="005001A0">
      <w:r w:rsidRPr="005001A0">
        <w:rPr>
          <w:b/>
          <w:bCs/>
        </w:rPr>
        <w:t>Review</w:t>
      </w:r>
      <w:r w:rsidRPr="005001A0">
        <w:t>:</w:t>
      </w:r>
    </w:p>
    <w:p w14:paraId="543A5D8C" w14:textId="77777777" w:rsidR="005001A0" w:rsidRPr="005001A0" w:rsidRDefault="005001A0" w:rsidP="005001A0">
      <w:r w:rsidRPr="005001A0">
        <w:t>The manuscript presents a synthetic patient generation framework based on multiplicity-weighted Stochastic Attention (SA) for generating longitudinal coagulation profiles from very small clinical cohorts. The study addresses an important and challenging problem in systems biology and clinical modelling, namely the generation of biologically plausible synthetic longitudinal data in the extreme (n&lt;p) regime. The integration of statistical validation with mechanistic validation using an independent coagulation ODE model is a notable strength and differentiates this work from many existing synthetic-data studies. The reviewer finds the manuscript technically interesting, clinically relevant, and potentially impactful for applications in rare disease modelling, maternal health, and computational physiology. However, several methodological and interpretational concerns should be addressed prior to publication. The reviewer recommends reconsideration of the manuscript following major revision.</w:t>
      </w:r>
    </w:p>
    <w:p w14:paraId="5E23ADE2" w14:textId="77777777" w:rsidR="005001A0" w:rsidRPr="005001A0" w:rsidRDefault="005001A0" w:rsidP="005001A0">
      <w:r w:rsidRPr="005001A0">
        <w:t>Major Comments:</w:t>
      </w:r>
    </w:p>
    <w:p w14:paraId="19D291C4" w14:textId="77777777" w:rsidR="005001A0" w:rsidRPr="005001A0" w:rsidRDefault="005001A0" w:rsidP="005001A0">
      <w:pPr>
        <w:numPr>
          <w:ilvl w:val="0"/>
          <w:numId w:val="9"/>
        </w:numPr>
      </w:pPr>
      <w:r w:rsidRPr="005001A0">
        <w:t>The manuscript repeatedly emphasizes that the proposed SA framework preserves the “geometry” of the underlying dataset and avoids the limitations of parametric approaches in the (n&lt;p) regime. However, the reviewer notes that a substantial portion of this regularisation may already arise from the PCA dimensionality reduction step rather than the SA framework itself. The current baseline comparisons do not sufficiently disentangle the contribution of PCA preprocessing from the contribution of the SA energy landscape. The reviewer strongly suggests inclusion of additional ablation studies and/or baseline methods operating in the same PCA-reduced space, such as:</w:t>
      </w:r>
      <w:r w:rsidRPr="005001A0">
        <w:br/>
      </w:r>
      <w:proofErr w:type="spellStart"/>
      <w:r w:rsidRPr="005001A0">
        <w:t>i</w:t>
      </w:r>
      <w:proofErr w:type="spellEnd"/>
      <w:r w:rsidRPr="005001A0">
        <w:t>. PCA + Gaussian mixture models,</w:t>
      </w:r>
      <w:r w:rsidRPr="005001A0">
        <w:br/>
        <w:t>ii. PCA + kernel density estimation,</w:t>
      </w:r>
      <w:r w:rsidRPr="005001A0">
        <w:br/>
        <w:t>iii. PCA + nearest-neighbour interpolation,</w:t>
      </w:r>
      <w:r w:rsidRPr="005001A0">
        <w:br/>
        <w:t>iv. PCA + diffusion/interpolation approaches,</w:t>
      </w:r>
      <w:r w:rsidRPr="005001A0">
        <w:br/>
        <w:t>v. PCA + copula-based generation.</w:t>
      </w:r>
    </w:p>
    <w:p w14:paraId="3E2EDDCD" w14:textId="77777777" w:rsidR="005001A0" w:rsidRPr="005001A0" w:rsidRDefault="005001A0" w:rsidP="005001A0">
      <w:r w:rsidRPr="005001A0">
        <w:t>Without these comparisons, it remains unclear whether the reported performance gains are attributable specifically to SA or primarily to dimensionality reduction and smoothing induced by PCA.</w:t>
      </w:r>
    </w:p>
    <w:p w14:paraId="26FFD3E5" w14:textId="77777777" w:rsidR="005001A0" w:rsidRPr="005001A0" w:rsidRDefault="005001A0" w:rsidP="005001A0">
      <w:pPr>
        <w:numPr>
          <w:ilvl w:val="0"/>
          <w:numId w:val="10"/>
        </w:numPr>
      </w:pPr>
      <w:r w:rsidRPr="005001A0">
        <w:t>The reviewer appreciates the mechanistic validation strategy using the BZ2012 coagulation model, which is a major strength of the manuscript. However, the claim that the synthetic patients are “mechanistically indistinguishable” from real patients may overstate the degree of independence of this validation. The mechanistic model:</w:t>
      </w:r>
      <w:r w:rsidRPr="005001A0">
        <w:br/>
      </w:r>
      <w:proofErr w:type="spellStart"/>
      <w:r w:rsidRPr="005001A0">
        <w:t>i</w:t>
      </w:r>
      <w:proofErr w:type="spellEnd"/>
      <w:r w:rsidRPr="005001A0">
        <w:t>. operates on the same coagulation variables used for generation,</w:t>
      </w:r>
      <w:r w:rsidRPr="005001A0">
        <w:br/>
      </w:r>
      <w:r w:rsidRPr="005001A0">
        <w:lastRenderedPageBreak/>
        <w:t>ii. is calibrated using the same cohort,</w:t>
      </w:r>
      <w:r w:rsidRPr="005001A0">
        <w:br/>
        <w:t>iii. shares the same biological domain assumptions as the synthetic generator.</w:t>
      </w:r>
    </w:p>
    <w:p w14:paraId="3F70CA8A" w14:textId="77777777" w:rsidR="005001A0" w:rsidRPr="005001A0" w:rsidRDefault="005001A0" w:rsidP="005001A0">
      <w:r w:rsidRPr="005001A0">
        <w:t>Thus, while the validation demonstrates biological plausibility, it may not constitute a fully independent validation framework. The reviewer suggests tempering these claims and clarifying the extent to which the mechanistic validation remains coupled to the original dataset.</w:t>
      </w:r>
    </w:p>
    <w:p w14:paraId="6516DB82" w14:textId="77777777" w:rsidR="005001A0" w:rsidRPr="005001A0" w:rsidRDefault="005001A0" w:rsidP="005001A0">
      <w:r w:rsidRPr="005001A0">
        <w:t>3.      The reviewer acknowledges that the study intentionally targets an extreme small-cohort setting. However, the very small subgroup sizes used for conditional generation remain concerning, particularly: PCOS: (n=3), Developed PE: (n=5)</w:t>
      </w:r>
    </w:p>
    <w:p w14:paraId="38F00017" w14:textId="77777777" w:rsidR="005001A0" w:rsidRPr="005001A0" w:rsidRDefault="005001A0" w:rsidP="005001A0">
      <w:r w:rsidRPr="005001A0">
        <w:t>The manuscript presents subgroup amplification as a major contribution, but at these sample sizes the synthetic distributions may largely reflect interpolation between a handful of trajectories rather than genuine subgroup variability. The reviewer recommends:</w:t>
      </w:r>
      <w:r w:rsidRPr="005001A0">
        <w:br/>
      </w:r>
      <w:proofErr w:type="spellStart"/>
      <w:r w:rsidRPr="005001A0">
        <w:t>i</w:t>
      </w:r>
      <w:proofErr w:type="spellEnd"/>
      <w:r w:rsidRPr="005001A0">
        <w:t>. further discussion regarding the statistical reliability of subgroup-specific conclusions,</w:t>
      </w:r>
      <w:r w:rsidRPr="005001A0">
        <w:br/>
        <w:t>ii. explicit acknowledgement that subgroup manifolds may be severely under-sampled,</w:t>
      </w:r>
      <w:r w:rsidRPr="005001A0">
        <w:br/>
        <w:t>iii. caution regarding downstream clinical interpretation of subgroup-generated cohorts.</w:t>
      </w:r>
    </w:p>
    <w:p w14:paraId="6A40417A" w14:textId="77777777" w:rsidR="005001A0" w:rsidRPr="005001A0" w:rsidRDefault="005001A0" w:rsidP="005001A0">
      <w:pPr>
        <w:numPr>
          <w:ilvl w:val="0"/>
          <w:numId w:val="11"/>
        </w:numPr>
      </w:pPr>
      <w:r w:rsidRPr="005001A0">
        <w:t>The reviewer appreciates the comparison against MVN, CTGAN, and TVAE. However, the current baselines may unintentionally favour the proposed framework:</w:t>
      </w:r>
      <w:r w:rsidRPr="005001A0">
        <w:br/>
      </w:r>
      <w:proofErr w:type="spellStart"/>
      <w:r w:rsidRPr="005001A0">
        <w:t>i</w:t>
      </w:r>
      <w:proofErr w:type="spellEnd"/>
      <w:r w:rsidRPr="005001A0">
        <w:t>. CTGAN is known to perform poorly under very small sample conditions,</w:t>
      </w:r>
      <w:r w:rsidRPr="005001A0">
        <w:br/>
        <w:t>ii. TVAE was not configured for concatenated longitudinal generation,</w:t>
      </w:r>
      <w:r w:rsidRPr="005001A0">
        <w:br/>
        <w:t>iii. MVN is fundamentally disadvantaged in highly rank-deficient covariance settings.</w:t>
      </w:r>
    </w:p>
    <w:p w14:paraId="3E1CDE54" w14:textId="77777777" w:rsidR="005001A0" w:rsidRPr="005001A0" w:rsidRDefault="005001A0" w:rsidP="005001A0">
      <w:r w:rsidRPr="005001A0">
        <w:t>The reviewer therefore recommends stronger and more diverse baselines, particularly methods specifically designed for low-sample tabular generation or manifold interpolation.</w:t>
      </w:r>
    </w:p>
    <w:p w14:paraId="748A23C4" w14:textId="77777777" w:rsidR="005001A0" w:rsidRPr="005001A0" w:rsidRDefault="005001A0" w:rsidP="005001A0">
      <w:pPr>
        <w:numPr>
          <w:ilvl w:val="0"/>
          <w:numId w:val="12"/>
        </w:numPr>
      </w:pPr>
      <w:r w:rsidRPr="005001A0">
        <w:t>The manuscript discusses novelty metrics and nearest-neighbour distances to demonstrate that generated patients are not memorized copies of real patients. However, privacy and memorization risks are not rigorously evaluated. Given the extremely small cohort size ((K=23)), this is an important omission. The reviewer suggests:</w:t>
      </w:r>
      <w:r w:rsidRPr="005001A0">
        <w:br/>
      </w:r>
      <w:proofErr w:type="spellStart"/>
      <w:r w:rsidRPr="005001A0">
        <w:t>i</w:t>
      </w:r>
      <w:proofErr w:type="spellEnd"/>
      <w:r w:rsidRPr="005001A0">
        <w:t>. discussion of membership inference risk,</w:t>
      </w:r>
      <w:r w:rsidRPr="005001A0">
        <w:br/>
        <w:t>ii. discussion of patient re-identification concerns,</w:t>
      </w:r>
    </w:p>
    <w:p w14:paraId="728AFB94" w14:textId="77777777" w:rsidR="005001A0" w:rsidRPr="005001A0" w:rsidRDefault="005001A0" w:rsidP="005001A0">
      <w:r w:rsidRPr="005001A0">
        <w:t>This is especially important because the proposed framework directly interpolates between stored patient memory patterns.</w:t>
      </w:r>
    </w:p>
    <w:p w14:paraId="58E253D3" w14:textId="77777777" w:rsidR="005001A0" w:rsidRPr="005001A0" w:rsidRDefault="005001A0" w:rsidP="005001A0">
      <w:pPr>
        <w:numPr>
          <w:ilvl w:val="0"/>
          <w:numId w:val="13"/>
        </w:numPr>
      </w:pPr>
      <w:r w:rsidRPr="005001A0">
        <w:lastRenderedPageBreak/>
        <w:t>The reviewer finds the longitudinal concatenation strategy elegant and appropriate for preserving cross-visit covariance structure. However, this design implicitly assumes that all visits are equally aligned temporally and physiologically across patients. In real-world longitudinal clinical datasets, visit timing variability and missingness are often unavoidable. The reviewer suggests discussing:</w:t>
      </w:r>
      <w:r w:rsidRPr="005001A0">
        <w:br/>
      </w:r>
      <w:proofErr w:type="spellStart"/>
      <w:r w:rsidRPr="005001A0">
        <w:t>i</w:t>
      </w:r>
      <w:proofErr w:type="spellEnd"/>
      <w:r w:rsidRPr="005001A0">
        <w:t>. robustness of the framework to irregular visit timing,</w:t>
      </w:r>
      <w:r w:rsidRPr="005001A0">
        <w:br/>
        <w:t>ii. handling of incomplete trajectories,</w:t>
      </w:r>
      <w:r w:rsidRPr="005001A0">
        <w:br/>
        <w:t>iii. extension to variable-length longitudinal records,</w:t>
      </w:r>
    </w:p>
    <w:p w14:paraId="7DB6B79D" w14:textId="77777777" w:rsidR="005001A0" w:rsidRPr="005001A0" w:rsidRDefault="005001A0" w:rsidP="005001A0">
      <w:pPr>
        <w:numPr>
          <w:ilvl w:val="0"/>
          <w:numId w:val="13"/>
        </w:numPr>
      </w:pPr>
      <w:r w:rsidRPr="005001A0">
        <w:t>The reviewer appreciates the discussion of tail compression and the acknowledgement that SA tends to smooth extremes of the distribution. However, this issue may be more clinically important than currently emphasized. Rare or extreme physiological states are often precisely the phenomena of interest in maternal complications and critical illness. The reviewer suggests further discussion regarding:</w:t>
      </w:r>
      <w:r w:rsidRPr="005001A0">
        <w:br/>
      </w:r>
      <w:proofErr w:type="spellStart"/>
      <w:r w:rsidRPr="005001A0">
        <w:t>i</w:t>
      </w:r>
      <w:proofErr w:type="spellEnd"/>
      <w:r w:rsidRPr="005001A0">
        <w:t>. how tail compression may affect downstream mechanistic modelling,</w:t>
      </w:r>
      <w:r w:rsidRPr="005001A0">
        <w:br/>
        <w:t>ii. implications for rare-event hypothesis generation,</w:t>
      </w:r>
      <w:r w:rsidRPr="005001A0">
        <w:br/>
        <w:t>iii. whether the framework may systematically underestimate severe pathology.</w:t>
      </w:r>
    </w:p>
    <w:p w14:paraId="65AF0CCD" w14:textId="77777777" w:rsidR="005001A0" w:rsidRPr="005001A0" w:rsidRDefault="005001A0" w:rsidP="005001A0">
      <w:pPr>
        <w:numPr>
          <w:ilvl w:val="0"/>
          <w:numId w:val="13"/>
        </w:numPr>
      </w:pPr>
      <w:r w:rsidRPr="005001A0">
        <w:t>The manuscript currently evaluates the framework on a single cohort from a single domain. While the results are promising, generalisability remains unclear.</w:t>
      </w:r>
    </w:p>
    <w:p w14:paraId="078AFD9A" w14:textId="77777777" w:rsidR="005001A0" w:rsidRPr="005001A0" w:rsidRDefault="005001A0" w:rsidP="005001A0">
      <w:proofErr w:type="spellStart"/>
      <w:r w:rsidRPr="005001A0">
        <w:t>i</w:t>
      </w:r>
      <w:proofErr w:type="spellEnd"/>
      <w:r w:rsidRPr="005001A0">
        <w:t xml:space="preserve">)                 The reviewer strongly encourages future validation on independent external </w:t>
      </w:r>
      <w:proofErr w:type="gramStart"/>
      <w:r w:rsidRPr="005001A0">
        <w:t>cohorts, or</w:t>
      </w:r>
      <w:proofErr w:type="gramEnd"/>
      <w:r w:rsidRPr="005001A0">
        <w:t xml:space="preserve"> discussed in the limitations.</w:t>
      </w:r>
    </w:p>
    <w:p w14:paraId="7A2FAA59" w14:textId="77777777" w:rsidR="005001A0" w:rsidRPr="005001A0" w:rsidRDefault="005001A0" w:rsidP="005001A0">
      <w:r w:rsidRPr="005001A0">
        <w:t>ii)               The reviewer recommends explicitly framing the current study as a proof-of-concept rather than a broadly validated synthetic clinical generation framework.</w:t>
      </w:r>
    </w:p>
    <w:p w14:paraId="11A71B63" w14:textId="77777777" w:rsidR="005001A0" w:rsidRPr="005001A0" w:rsidRDefault="005001A0" w:rsidP="005001A0">
      <w:pPr>
        <w:numPr>
          <w:ilvl w:val="0"/>
          <w:numId w:val="14"/>
        </w:numPr>
      </w:pPr>
      <w:r w:rsidRPr="005001A0">
        <w:t>The reviewer finds the integration of modern Hopfield networks and Langevin dynamics conceptually interesting. However, portions of the theoretical exposition may be difficult for a broader biomedical audience to follow. In particular:</w:t>
      </w:r>
      <w:r w:rsidRPr="005001A0">
        <w:br/>
      </w:r>
      <w:proofErr w:type="spellStart"/>
      <w:r w:rsidRPr="005001A0">
        <w:t>i</w:t>
      </w:r>
      <w:proofErr w:type="spellEnd"/>
      <w:r w:rsidRPr="005001A0">
        <w:t>. the entropy-inflection (beta) selection procedure,</w:t>
      </w:r>
      <w:r w:rsidRPr="005001A0">
        <w:br/>
        <w:t>ii. the participation ratio interpretation,</w:t>
      </w:r>
      <w:r w:rsidRPr="005001A0">
        <w:br/>
        <w:t>iii. the geometric interpretation of the energy landscape,</w:t>
      </w:r>
    </w:p>
    <w:p w14:paraId="52D24C9A" w14:textId="77777777" w:rsidR="005001A0" w:rsidRPr="005001A0" w:rsidRDefault="005001A0" w:rsidP="005001A0">
      <w:r w:rsidRPr="005001A0">
        <w:t>could benefit from additional intuitive explanation or schematic visualisation.</w:t>
      </w:r>
    </w:p>
    <w:p w14:paraId="68D18D27" w14:textId="77777777" w:rsidR="005001A0" w:rsidRPr="005001A0" w:rsidRDefault="005001A0" w:rsidP="005001A0">
      <w:pPr>
        <w:numPr>
          <w:ilvl w:val="0"/>
          <w:numId w:val="15"/>
        </w:numPr>
      </w:pPr>
      <w:r w:rsidRPr="005001A0">
        <w:t>The reviewer notes that the mechanistic validation was restricted to thrombin generation modelling and did not evaluate the fibrinolytic or viscoelastic components included in the dataset. Since these comprise a substantial portion of the longitudinal feature space, the reviewer suggests:</w:t>
      </w:r>
      <w:r w:rsidRPr="005001A0">
        <w:br/>
      </w:r>
      <w:proofErr w:type="spellStart"/>
      <w:r w:rsidRPr="005001A0">
        <w:t>i</w:t>
      </w:r>
      <w:proofErr w:type="spellEnd"/>
      <w:r w:rsidRPr="005001A0">
        <w:t xml:space="preserve">. discussing how unvalidated feature categories may influence the generated </w:t>
      </w:r>
      <w:r w:rsidRPr="005001A0">
        <w:lastRenderedPageBreak/>
        <w:t>manifold,</w:t>
      </w:r>
      <w:r w:rsidRPr="005001A0">
        <w:br/>
        <w:t>ii. clarifying whether these features contribute meaningfully to the energy landscape,</w:t>
      </w:r>
      <w:r w:rsidRPr="005001A0">
        <w:br/>
        <w:t>iii. expanding future validation toward fibrinolysis or viscoelastic mechanistic models.</w:t>
      </w:r>
    </w:p>
    <w:p w14:paraId="4A210FDF" w14:textId="77777777" w:rsidR="005001A0" w:rsidRPr="005001A0" w:rsidRDefault="005001A0" w:rsidP="005001A0">
      <w:pPr>
        <w:numPr>
          <w:ilvl w:val="0"/>
          <w:numId w:val="15"/>
        </w:numPr>
      </w:pPr>
      <w:r w:rsidRPr="005001A0">
        <w:t>The reviewer finds the downstream utility experiment particularly compelling. However, the reported performance improvement of the synthetic-calibrated model over the real-calibrated model may partially reflect smoothing or regularisation effects induced by the synthetic generation process. The reviewer suggests discussing whether the synthetic data may reduce optimisation variance by suppressing physiologically meaningful heterogeneity.</w:t>
      </w:r>
    </w:p>
    <w:p w14:paraId="716ABDC4" w14:textId="77777777" w:rsidR="005001A0" w:rsidRPr="005001A0" w:rsidRDefault="005001A0" w:rsidP="005001A0">
      <w:pPr>
        <w:numPr>
          <w:ilvl w:val="0"/>
          <w:numId w:val="15"/>
        </w:numPr>
      </w:pPr>
      <w:r w:rsidRPr="005001A0">
        <w:t>The reviewer suggests discussing computational scalability:</w:t>
      </w:r>
      <w:r w:rsidRPr="005001A0">
        <w:br/>
      </w:r>
      <w:proofErr w:type="spellStart"/>
      <w:r w:rsidRPr="005001A0">
        <w:t>i</w:t>
      </w:r>
      <w:proofErr w:type="spellEnd"/>
      <w:r w:rsidRPr="005001A0">
        <w:t>. how the framework behaves as cohort size increases,</w:t>
      </w:r>
      <w:r w:rsidRPr="005001A0">
        <w:br/>
        <w:t>ii. whether the energy landscape becomes unstable at larger (K),</w:t>
      </w:r>
      <w:r w:rsidRPr="005001A0">
        <w:br/>
        <w:t>iii. how computational complexity scales with dimensionality.</w:t>
      </w:r>
    </w:p>
    <w:p w14:paraId="26FF0DA7" w14:textId="77777777" w:rsidR="005001A0" w:rsidRPr="005001A0" w:rsidRDefault="005001A0" w:rsidP="005001A0">
      <w:r w:rsidRPr="005001A0">
        <w:t>Minor Comments:</w:t>
      </w:r>
    </w:p>
    <w:p w14:paraId="016D8D64" w14:textId="54A639C7" w:rsidR="0043171D" w:rsidRDefault="005001A0" w:rsidP="005001A0">
      <w:pPr>
        <w:numPr>
          <w:ilvl w:val="0"/>
          <w:numId w:val="16"/>
        </w:numPr>
      </w:pPr>
      <w:r w:rsidRPr="005001A0">
        <w:t>In the Introduction and Discussion, some claims regarding “clinically useful synthetic cohorts” and “statistically indistinguishable” may be overly strong given the sample size limitations. The reviewer recommends slightly more conservative wording.</w:t>
      </w:r>
    </w:p>
    <w:sectPr w:rsidR="004317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E293B"/>
    <w:multiLevelType w:val="multilevel"/>
    <w:tmpl w:val="F162C27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FE1186"/>
    <w:multiLevelType w:val="multilevel"/>
    <w:tmpl w:val="DA78A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215F34"/>
    <w:multiLevelType w:val="multilevel"/>
    <w:tmpl w:val="1F2C30F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A4569F"/>
    <w:multiLevelType w:val="multilevel"/>
    <w:tmpl w:val="B100BBE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334D87"/>
    <w:multiLevelType w:val="multilevel"/>
    <w:tmpl w:val="F760D3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9D3366"/>
    <w:multiLevelType w:val="multilevel"/>
    <w:tmpl w:val="079EA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E1377F"/>
    <w:multiLevelType w:val="multilevel"/>
    <w:tmpl w:val="6CC41AD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73081F"/>
    <w:multiLevelType w:val="multilevel"/>
    <w:tmpl w:val="801C49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A93E2F"/>
    <w:multiLevelType w:val="multilevel"/>
    <w:tmpl w:val="B6BCC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A42256"/>
    <w:multiLevelType w:val="multilevel"/>
    <w:tmpl w:val="014E5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CEB7728"/>
    <w:multiLevelType w:val="multilevel"/>
    <w:tmpl w:val="2F7400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C15867"/>
    <w:multiLevelType w:val="multilevel"/>
    <w:tmpl w:val="828A7D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FB614E6"/>
    <w:multiLevelType w:val="multilevel"/>
    <w:tmpl w:val="BAAE596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8850E77"/>
    <w:multiLevelType w:val="multilevel"/>
    <w:tmpl w:val="5A0CF3E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BFD105C"/>
    <w:multiLevelType w:val="multilevel"/>
    <w:tmpl w:val="9CE8EBF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FCA73A7"/>
    <w:multiLevelType w:val="multilevel"/>
    <w:tmpl w:val="5BB825B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0561073">
    <w:abstractNumId w:val="5"/>
  </w:num>
  <w:num w:numId="2" w16cid:durableId="1980114017">
    <w:abstractNumId w:val="11"/>
  </w:num>
  <w:num w:numId="3" w16cid:durableId="113401868">
    <w:abstractNumId w:val="12"/>
  </w:num>
  <w:num w:numId="4" w16cid:durableId="2064059588">
    <w:abstractNumId w:val="0"/>
  </w:num>
  <w:num w:numId="5" w16cid:durableId="2112042572">
    <w:abstractNumId w:val="14"/>
  </w:num>
  <w:num w:numId="6" w16cid:durableId="1996257075">
    <w:abstractNumId w:val="7"/>
  </w:num>
  <w:num w:numId="7" w16cid:durableId="871457113">
    <w:abstractNumId w:val="6"/>
  </w:num>
  <w:num w:numId="8" w16cid:durableId="776559237">
    <w:abstractNumId w:val="8"/>
  </w:num>
  <w:num w:numId="9" w16cid:durableId="187570519">
    <w:abstractNumId w:val="1"/>
  </w:num>
  <w:num w:numId="10" w16cid:durableId="778766907">
    <w:abstractNumId w:val="10"/>
  </w:num>
  <w:num w:numId="11" w16cid:durableId="1248610268">
    <w:abstractNumId w:val="4"/>
  </w:num>
  <w:num w:numId="12" w16cid:durableId="1453398757">
    <w:abstractNumId w:val="3"/>
  </w:num>
  <w:num w:numId="13" w16cid:durableId="749539806">
    <w:abstractNumId w:val="15"/>
  </w:num>
  <w:num w:numId="14" w16cid:durableId="1480073123">
    <w:abstractNumId w:val="2"/>
  </w:num>
  <w:num w:numId="15" w16cid:durableId="959722974">
    <w:abstractNumId w:val="13"/>
  </w:num>
  <w:num w:numId="16" w16cid:durableId="12047508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1A0"/>
    <w:rsid w:val="001B3FDE"/>
    <w:rsid w:val="0028469E"/>
    <w:rsid w:val="0043171D"/>
    <w:rsid w:val="005001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B44F1"/>
  <w15:chartTrackingRefBased/>
  <w15:docId w15:val="{E7E48246-B26A-4C7B-9C35-9FC1A3CC6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01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01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01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01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01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01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1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1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1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1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01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01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01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01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01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1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1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1A0"/>
    <w:rPr>
      <w:rFonts w:eastAsiaTheme="majorEastAsia" w:cstheme="majorBidi"/>
      <w:color w:val="272727" w:themeColor="text1" w:themeTint="D8"/>
    </w:rPr>
  </w:style>
  <w:style w:type="paragraph" w:styleId="Title">
    <w:name w:val="Title"/>
    <w:basedOn w:val="Normal"/>
    <w:next w:val="Normal"/>
    <w:link w:val="TitleChar"/>
    <w:uiPriority w:val="10"/>
    <w:qFormat/>
    <w:rsid w:val="005001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1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1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1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1A0"/>
    <w:pPr>
      <w:spacing w:before="160"/>
      <w:jc w:val="center"/>
    </w:pPr>
    <w:rPr>
      <w:i/>
      <w:iCs/>
      <w:color w:val="404040" w:themeColor="text1" w:themeTint="BF"/>
    </w:rPr>
  </w:style>
  <w:style w:type="character" w:customStyle="1" w:styleId="QuoteChar">
    <w:name w:val="Quote Char"/>
    <w:basedOn w:val="DefaultParagraphFont"/>
    <w:link w:val="Quote"/>
    <w:uiPriority w:val="29"/>
    <w:rsid w:val="005001A0"/>
    <w:rPr>
      <w:i/>
      <w:iCs/>
      <w:color w:val="404040" w:themeColor="text1" w:themeTint="BF"/>
    </w:rPr>
  </w:style>
  <w:style w:type="paragraph" w:styleId="ListParagraph">
    <w:name w:val="List Paragraph"/>
    <w:basedOn w:val="Normal"/>
    <w:uiPriority w:val="34"/>
    <w:qFormat/>
    <w:rsid w:val="005001A0"/>
    <w:pPr>
      <w:ind w:left="720"/>
      <w:contextualSpacing/>
    </w:pPr>
  </w:style>
  <w:style w:type="character" w:styleId="IntenseEmphasis">
    <w:name w:val="Intense Emphasis"/>
    <w:basedOn w:val="DefaultParagraphFont"/>
    <w:uiPriority w:val="21"/>
    <w:qFormat/>
    <w:rsid w:val="005001A0"/>
    <w:rPr>
      <w:i/>
      <w:iCs/>
      <w:color w:val="0F4761" w:themeColor="accent1" w:themeShade="BF"/>
    </w:rPr>
  </w:style>
  <w:style w:type="paragraph" w:styleId="IntenseQuote">
    <w:name w:val="Intense Quote"/>
    <w:basedOn w:val="Normal"/>
    <w:next w:val="Normal"/>
    <w:link w:val="IntenseQuoteChar"/>
    <w:uiPriority w:val="30"/>
    <w:qFormat/>
    <w:rsid w:val="005001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01A0"/>
    <w:rPr>
      <w:i/>
      <w:iCs/>
      <w:color w:val="0F4761" w:themeColor="accent1" w:themeShade="BF"/>
    </w:rPr>
  </w:style>
  <w:style w:type="character" w:styleId="IntenseReference">
    <w:name w:val="Intense Reference"/>
    <w:basedOn w:val="DefaultParagraphFont"/>
    <w:uiPriority w:val="32"/>
    <w:qFormat/>
    <w:rsid w:val="005001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1245</Words>
  <Characters>7103</Characters>
  <Application>Microsoft Office Word</Application>
  <DocSecurity>0</DocSecurity>
  <Lines>59</Lines>
  <Paragraphs>16</Paragraphs>
  <ScaleCrop>false</ScaleCrop>
  <Company/>
  <LinksUpToDate>false</LinksUpToDate>
  <CharactersWithSpaces>8332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2026-06-23T11:06:00Z</dcterms:created>
  <dcterms:modified xsi:type="dcterms:W3CDTF">2026-06-23T11:07:00Z</dcterms:modified>
  <cp:revision>1</cp:revision>
</cp:coreProperties>
</file>