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DAD5" w14:textId="2D59445D" w:rsidR="00BA159C" w:rsidRDefault="00000000">
      <w:pPr>
        <w:pStyle w:val="Heading"/>
      </w:pPr>
      <w:bookmarkStart w:id="0" w:name="Xdee1fa469f339c1d4ce5f705535977fe333ad4e"/>
      <w:r>
        <w:t>AI In Finance Certificate: Work Session Overview</w:t>
      </w:r>
      <w:bookmarkEnd w:id="0"/>
      <w:r w:rsidR="001C5C34">
        <w:t xml:space="preserve"> (Varner)</w:t>
      </w:r>
    </w:p>
    <w:p w14:paraId="3ADD12DE" w14:textId="77777777" w:rsidR="00BA159C" w:rsidRDefault="00000000">
      <w:pPr>
        <w:pStyle w:val="Heading2"/>
      </w:pPr>
      <w:bookmarkStart w:id="1" w:name="overallmission"/>
      <w:r>
        <w:rPr>
          <w:rFonts w:eastAsia="Arial Unicode MS" w:cs="Arial Unicode MS"/>
        </w:rPr>
        <w:t>Overall</w:t>
      </w:r>
    </w:p>
    <w:bookmarkEnd w:id="1"/>
    <w:p w14:paraId="4E29A14B" w14:textId="77777777" w:rsidR="00BA159C" w:rsidRDefault="00000000">
      <w:pPr>
        <w:pStyle w:val="Heading2"/>
        <w:rPr>
          <w:b w:val="0"/>
          <w:bCs w:val="0"/>
        </w:rPr>
      </w:pPr>
      <w:r>
        <w:rPr>
          <w:b w:val="0"/>
          <w:bCs w:val="0"/>
        </w:rPr>
        <w:t>These four sessions show how an investment team can use AI across the complete portfolio construction and management process. The framework is designed for both the buy side (e.g., endowments, pensions, and asset managers) and the product/issuer side (e.g., teams that convert investment views into repeatable portfolio methodologies, such as index methodologies, model portfolios, or systematic strategies). We begin by identifying where the traditional approach breaks down and by defining a baseline scorecard from the current method. Next, we convert a proposed portfolio construction and rebalancing method into clear decision rules, using AI to extract sentiment from news and company disclosures and combining that signal with fundamental and market data. We then test the new strategy against the current method using the same metrics (e.g., return, drawdown, stability, and execution quality) across normal and stressed market scenarios (e.g., volatility spikes, rapid selloffs, and correlation breakdowns). Finally, we define live operating rules, alerts, and human oversight so the process is transparent and ready for investment committee review.</w:t>
      </w:r>
    </w:p>
    <w:p w14:paraId="2E1DA180" w14:textId="77777777" w:rsidR="00BA159C" w:rsidRDefault="00000000">
      <w:pPr>
        <w:pStyle w:val="Heading2"/>
      </w:pPr>
      <w:bookmarkStart w:id="2" w:name="session1"/>
      <w:r>
        <w:rPr>
          <w:rFonts w:eastAsia="Arial Unicode MS" w:cs="Arial Unicode MS"/>
          <w:lang w:val="fr-FR"/>
        </w:rPr>
        <w:t>Session 1</w:t>
      </w:r>
    </w:p>
    <w:p w14:paraId="41C96A84" w14:textId="77777777" w:rsidR="00BA159C" w:rsidRDefault="00000000">
      <w:pPr>
        <w:pStyle w:val="FirstParagraph"/>
      </w:pPr>
      <w:r>
        <w:rPr>
          <w:b/>
          <w:bCs/>
        </w:rPr>
        <w:t>Date/Time:</w:t>
      </w:r>
      <w:r>
        <w:t xml:space="preserve"> Monday, May 4, 2026 (7:00-9:00 pm ET)</w:t>
      </w:r>
      <w:r>
        <w:br/>
      </w:r>
      <w:r>
        <w:rPr>
          <w:b/>
          <w:bCs/>
        </w:rPr>
        <w:t>Title:</w:t>
      </w:r>
      <w:r>
        <w:t xml:space="preserve"> When Optimal Fails: Stress-Testing Classical Minimum-Variance Portfolios</w:t>
      </w:r>
      <w:r>
        <w:br/>
      </w:r>
      <w:r>
        <w:rPr>
          <w:b/>
          <w:bCs/>
        </w:rPr>
        <w:t>Description:</w:t>
      </w:r>
      <w:r>
        <w:t xml:space="preserve"> </w:t>
      </w:r>
      <w:bookmarkStart w:id="3" w:name="session2"/>
      <w:bookmarkEnd w:id="2"/>
      <w:r>
        <w:t>We begin with the traditional minimum-variance method and explore its weaknesses: minor errors in the model inputs can lead to large changes in allocations, portfolios can become overly concentrated, and risk can shift rapidly as prices evolve. Additionally, we’ll question some of the model's key assumptions, for example, using volatility or variance as a risk measure. AI is used in this first session to rapidly stress-test the traditional portfolio model by running practical “what-if” checks (e.g., changes in correlations, sudden price drops, and higher trading costs). This helps the team quickly identify weak assumptions, such as stable covariance estimates or low-friction rebalancing, that are often missed in manual spreadsheet review. The session ends by creating a clear baseline scorecard from the current method (for example, return, drawdown, turnover, and trading cost). In later sessions, any AI-assisted strategy must beat this baseline on agreed metrics before it is considered for use.</w:t>
      </w:r>
    </w:p>
    <w:p w14:paraId="67081A93" w14:textId="77777777" w:rsidR="00BA159C" w:rsidRDefault="00000000">
      <w:pPr>
        <w:pStyle w:val="FirstParagraph"/>
        <w:rPr>
          <w:b/>
          <w:bCs/>
        </w:rPr>
      </w:pPr>
      <w:r>
        <w:rPr>
          <w:b/>
          <w:bCs/>
        </w:rPr>
        <w:t>Session 2</w:t>
      </w:r>
    </w:p>
    <w:p w14:paraId="3CF06453" w14:textId="77777777" w:rsidR="00BA159C" w:rsidRDefault="00000000">
      <w:pPr>
        <w:pStyle w:val="FirstParagraph"/>
      </w:pPr>
      <w:r>
        <w:rPr>
          <w:b/>
          <w:bCs/>
        </w:rPr>
        <w:t>Date/Time:</w:t>
      </w:r>
      <w:r>
        <w:t xml:space="preserve"> Wednesday, May 6, 2026 (7:00-9:00 pm ET)</w:t>
      </w:r>
      <w:r>
        <w:br/>
      </w:r>
      <w:r>
        <w:rPr>
          <w:b/>
          <w:bCs/>
        </w:rPr>
        <w:t>Title:</w:t>
      </w:r>
      <w:r>
        <w:t xml:space="preserve"> From Static Weights to Adaptive Allocation: Designing the AI Rebalancing Engine</w:t>
      </w:r>
      <w:r>
        <w:br/>
      </w:r>
      <w:r>
        <w:rPr>
          <w:b/>
          <w:bCs/>
        </w:rPr>
        <w:t>Description:</w:t>
      </w:r>
      <w:bookmarkEnd w:id="3"/>
      <w:r>
        <w:rPr>
          <w:b/>
          <w:bCs/>
        </w:rPr>
        <w:t xml:space="preserve">  </w:t>
      </w:r>
      <w:r>
        <w:t>In this session, we introduce a realistic scenario: a quantitative researcher at your firm proposes a new portfolio construction and rebalancing method. Participants translate that proposal into explicit decision rules for when to rebalance, when to hold, and when to reduce risk. AI plays a central role by analyzing news, earnings commentary, and company reports to generate a sentiment signal, which is then combined with slower-moving fundamental indicators and time-dependent market signals (for example, MACD) to update portfolio preferences. We then define practical trigger rules, such as drawdown limits, turnover caps, and liquidity checks, so the strategy is implementation-ready before formal backtesting.</w:t>
      </w:r>
      <w:bookmarkStart w:id="4" w:name="session3"/>
    </w:p>
    <w:p w14:paraId="6D45A5B5" w14:textId="77777777" w:rsidR="00BA159C" w:rsidRDefault="00000000">
      <w:pPr>
        <w:pStyle w:val="FirstParagraph"/>
        <w:rPr>
          <w:b/>
          <w:bCs/>
        </w:rPr>
      </w:pPr>
      <w:r>
        <w:rPr>
          <w:b/>
          <w:bCs/>
        </w:rPr>
        <w:t>Session 3</w:t>
      </w:r>
    </w:p>
    <w:p w14:paraId="23F2FDA0" w14:textId="77777777" w:rsidR="00BA159C" w:rsidRDefault="00000000">
      <w:pPr>
        <w:pStyle w:val="FirstParagraph"/>
      </w:pPr>
      <w:r>
        <w:rPr>
          <w:b/>
          <w:bCs/>
        </w:rPr>
        <w:t>Date/Time:</w:t>
      </w:r>
      <w:r>
        <w:t xml:space="preserve"> Friday, May 8, 2026 (7:00-9:00 pm ET)</w:t>
      </w:r>
      <w:r>
        <w:br/>
      </w:r>
      <w:r>
        <w:rPr>
          <w:b/>
          <w:bCs/>
        </w:rPr>
        <w:t>Title:</w:t>
      </w:r>
      <w:r>
        <w:t xml:space="preserve"> Can It Survive Regime Shifts? HMM Backtesting and Zero-Level AI Baselines</w:t>
      </w:r>
      <w:r>
        <w:br/>
      </w:r>
      <w:r>
        <w:rPr>
          <w:b/>
          <w:bCs/>
        </w:rPr>
        <w:lastRenderedPageBreak/>
        <w:t>Description:</w:t>
      </w:r>
      <w:r>
        <w:t xml:space="preserve"> </w:t>
      </w:r>
      <w:bookmarkStart w:id="5" w:name="session4"/>
      <w:bookmarkEnd w:id="4"/>
      <w:r>
        <w:t>In this session, participants test the strategy framework built in Session 2 against the baseline scorecard defined in Session 1. They develop a backtesting framework using a Hidden Markov Model (HMM) to generate realistic synthetic market paths and evaluate portfolio performance under both normal and stressed conditions (e.g., rapid selloffs, volatility spikes, and correlation breakdowns). AI is used in two ways: to help generate and summarize scenario outcomes, and to create a simple benchmark in which we directly ask AI what to buy and how to allocate positions. The session concludes with a validation report that applies clear pass/fail criteria for return, drawdown, stability, and execution robustness (e.g., fill rates, slippage, and the impact of switching to market orders when limit orders are not filled).</w:t>
      </w:r>
    </w:p>
    <w:p w14:paraId="3BF8BA1E" w14:textId="77777777" w:rsidR="00BA159C" w:rsidRDefault="00000000">
      <w:pPr>
        <w:pStyle w:val="FirstParagraph"/>
        <w:rPr>
          <w:b/>
          <w:bCs/>
        </w:rPr>
      </w:pPr>
      <w:r>
        <w:rPr>
          <w:b/>
          <w:bCs/>
        </w:rPr>
        <w:t>Session 4</w:t>
      </w:r>
    </w:p>
    <w:p w14:paraId="5008E651" w14:textId="77777777" w:rsidR="00BA159C" w:rsidRDefault="00000000">
      <w:pPr>
        <w:pStyle w:val="FirstParagraph"/>
      </w:pPr>
      <w:r>
        <w:rPr>
          <w:b/>
          <w:bCs/>
        </w:rPr>
        <w:t>Date/Time:</w:t>
      </w:r>
      <w:r>
        <w:t xml:space="preserve"> Monday, May 11, 2026 (7:00-9:00 pm ET)</w:t>
      </w:r>
      <w:r>
        <w:br/>
      </w:r>
      <w:r>
        <w:rPr>
          <w:b/>
          <w:bCs/>
        </w:rPr>
        <w:t>Title:</w:t>
      </w:r>
      <w:r>
        <w:t xml:space="preserve"> From Prototype to Production: Sentiment, Triggers, and Portfolio Operations</w:t>
      </w:r>
      <w:r>
        <w:br/>
      </w:r>
      <w:r>
        <w:rPr>
          <w:b/>
          <w:bCs/>
        </w:rPr>
        <w:t>Description:</w:t>
      </w:r>
      <w:bookmarkEnd w:id="5"/>
      <w:r>
        <w:rPr>
          <w:b/>
          <w:bCs/>
        </w:rPr>
        <w:t xml:space="preserve"> </w:t>
      </w:r>
      <w:r>
        <w:t>The final session transitions from prototype to live operations by taking the Session 2 strategy rules that passed Session 3 validation and preparing them for controlled deployment against the Session 1 baseline standards. The team integrates long-term preference estimates with short-term updates from client input and new market data. AI supports daily operations by summarizing incoming information, updating sentiment inputs, and issuing alerts when trigger thresholds are met, such as max drawdown or unusual turnover. Participants establish human override and escalation rules to ensure the process remains transparent, auditable, and appropriate for investment committee review.</w:t>
      </w:r>
    </w:p>
    <w:sectPr w:rsidR="00BA159C">
      <w:headerReference w:type="default" r:id="rId6"/>
      <w:footerReference w:type="default" r:id="rId7"/>
      <w:pgSz w:w="12240" w:h="15840"/>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2C36" w14:textId="77777777" w:rsidR="00A91FDE" w:rsidRDefault="00A91FDE">
      <w:r>
        <w:separator/>
      </w:r>
    </w:p>
  </w:endnote>
  <w:endnote w:type="continuationSeparator" w:id="0">
    <w:p w14:paraId="587F16DE" w14:textId="77777777" w:rsidR="00A91FDE" w:rsidRDefault="00A91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E062" w14:textId="77777777" w:rsidR="00BA159C" w:rsidRDefault="00BA159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0C225" w14:textId="77777777" w:rsidR="00A91FDE" w:rsidRDefault="00A91FDE">
      <w:r>
        <w:separator/>
      </w:r>
    </w:p>
  </w:footnote>
  <w:footnote w:type="continuationSeparator" w:id="0">
    <w:p w14:paraId="6189BAC3" w14:textId="77777777" w:rsidR="00A91FDE" w:rsidRDefault="00A91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8666" w14:textId="77777777" w:rsidR="00BA159C" w:rsidRDefault="00BA159C">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9C"/>
    <w:rsid w:val="001C5C34"/>
    <w:rsid w:val="0091057F"/>
    <w:rsid w:val="00A91FDE"/>
    <w:rsid w:val="00BA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7CFC7"/>
  <w15:docId w15:val="{4BC938AA-F619-1249-8CAB-F2BCC565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keepNext/>
      <w:keepLines/>
      <w:spacing w:before="200"/>
      <w:outlineLvl w:val="1"/>
    </w:pPr>
    <w:rPr>
      <w:rFonts w:ascii="Arial" w:eastAsia="Arial" w:hAnsi="Arial" w:cs="Arial"/>
      <w:b/>
      <w:bCs/>
      <w:color w:val="000000"/>
      <w:sz w:val="24"/>
      <w:szCs w:val="24"/>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pPr>
      <w:keepNext/>
      <w:keepLines/>
      <w:spacing w:before="480"/>
      <w:outlineLvl w:val="0"/>
    </w:pPr>
    <w:rPr>
      <w:rFonts w:ascii="Arial" w:hAnsi="Arial" w:cs="Arial Unicode MS"/>
      <w:b/>
      <w:bCs/>
      <w:color w:val="000000"/>
      <w:sz w:val="24"/>
      <w:szCs w:val="24"/>
      <w:u w:color="000000"/>
      <w14:textOutline w14:w="0" w14:cap="flat" w14:cmpd="sng" w14:algn="ctr">
        <w14:noFill/>
        <w14:prstDash w14:val="solid"/>
        <w14:bevel/>
      </w14:textOutline>
    </w:rPr>
  </w:style>
  <w:style w:type="paragraph" w:customStyle="1" w:styleId="FirstParagraph">
    <w:name w:val="First Paragraph"/>
    <w:pPr>
      <w:spacing w:before="180" w:after="180"/>
    </w:pPr>
    <w:rPr>
      <w:rFonts w:ascii="Arial" w:hAnsi="Arial"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733</Words>
  <Characters>4352</Characters>
  <Application>Microsoft Office Word</Application>
  <DocSecurity>0</DocSecurity>
  <Lines>63</Lines>
  <Paragraphs>11</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D. Varner</cp:lastModifiedBy>
  <cp:revision>2</cp:revision>
  <dcterms:created xsi:type="dcterms:W3CDTF">2026-02-16T19:31:00Z</dcterms:created>
  <dcterms:modified xsi:type="dcterms:W3CDTF">2026-02-16T19:31:00Z</dcterms:modified>
</cp:coreProperties>
</file>