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jc w:val="center"/>
      </w:pPr>
      <w:r>
        <w:rPr>
          <w:rFonts w:ascii="Arial" w:hAnsi="Arial"/>
          <w:b/>
          <w:color w:val="0F172A"/>
          <w:sz w:val="52"/>
        </w:rPr>
        <w:t>Production Machine Learning System for</w:t>
        <w:br/>
        <w:t>Residential House Price Prediction</w:t>
      </w:r>
    </w:p>
    <w:p>
      <w:pPr>
        <w:spacing w:after="800"/>
        <w:jc w:val="center"/>
      </w:pPr>
      <w:r>
        <w:rPr>
          <w:rFonts w:ascii="Arial" w:hAnsi="Arial"/>
          <w:color w:val="475569"/>
          <w:sz w:val="26"/>
        </w:rPr>
        <w:t>An End-to-End Engineering Implementation Featuring Scikit-Learn Regression Models, Leak-Free Feature Pipelines, MongoDB Persistence, and FastAPI Microservices</w:t>
      </w:r>
    </w:p>
    <w:p>
      <w:pPr>
        <w:spacing w:line="312" w:lineRule="auto"/>
        <w:jc w:val="center"/>
      </w:pPr>
      <w:r>
        <w:rPr>
          <w:rFonts w:ascii="Arial" w:hAnsi="Arial"/>
          <w:b/>
          <w:color w:val="334155"/>
          <w:sz w:val="20"/>
        </w:rPr>
        <w:t xml:space="preserve">Author &amp; Role: </w:t>
      </w:r>
      <w:r>
        <w:rPr>
          <w:rFonts w:ascii="Arial" w:hAnsi="Arial"/>
          <w:b w:val="0"/>
          <w:color w:val="334155"/>
          <w:sz w:val="20"/>
        </w:rPr>
        <w:t>Senior Machine Learning Engineer</w:t>
        <w:br/>
      </w:r>
      <w:r>
        <w:rPr>
          <w:rFonts w:ascii="Arial" w:hAnsi="Arial"/>
          <w:b/>
          <w:color w:val="334155"/>
          <w:sz w:val="20"/>
        </w:rPr>
        <w:t xml:space="preserve">Dataset: </w:t>
      </w:r>
      <w:r>
        <w:rPr>
          <w:rFonts w:ascii="Arial" w:hAnsi="Arial"/>
          <w:b w:val="0"/>
          <w:color w:val="334155"/>
          <w:sz w:val="20"/>
        </w:rPr>
        <w:t>King County House Sales (21,613 records, 2014-2015)</w:t>
        <w:br/>
      </w:r>
      <w:r>
        <w:rPr>
          <w:rFonts w:ascii="Arial" w:hAnsi="Arial"/>
          <w:b/>
          <w:color w:val="334155"/>
          <w:sz w:val="20"/>
        </w:rPr>
        <w:t xml:space="preserve">Primary Production Model: </w:t>
      </w:r>
      <w:r>
        <w:rPr>
          <w:rFonts w:ascii="Arial" w:hAnsi="Arial"/>
          <w:b w:val="0"/>
          <w:color w:val="334155"/>
          <w:sz w:val="20"/>
        </w:rPr>
        <w:t>Tuned Random Forest Regressor (R² = 0.8724, Log R² = 0.8979)</w:t>
        <w:br/>
      </w:r>
      <w:r>
        <w:rPr>
          <w:rFonts w:ascii="Arial" w:hAnsi="Arial"/>
          <w:b/>
          <w:color w:val="334155"/>
          <w:sz w:val="20"/>
        </w:rPr>
        <w:t xml:space="preserve">Backend Stack: </w:t>
      </w:r>
      <w:r>
        <w:rPr>
          <w:rFonts w:ascii="Arial" w:hAnsi="Arial"/>
          <w:b w:val="0"/>
          <w:color w:val="334155"/>
          <w:sz w:val="20"/>
        </w:rPr>
        <w:t>FastAPI 0.110+ • MongoDB 9.0+ • Scikit-Learn 1.7+ • Pydantic v2</w:t>
        <w:br/>
      </w:r>
      <w:r>
        <w:rPr>
          <w:rFonts w:ascii="Arial" w:hAnsi="Arial"/>
          <w:b/>
          <w:color w:val="334155"/>
          <w:sz w:val="20"/>
        </w:rPr>
        <w:t xml:space="preserve">Date: </w:t>
      </w:r>
      <w:r>
        <w:rPr>
          <w:rFonts w:ascii="Arial" w:hAnsi="Arial"/>
          <w:b w:val="0"/>
          <w:color w:val="334155"/>
          <w:sz w:val="20"/>
        </w:rPr>
        <w:t>October 2026</w:t>
        <w:br/>
      </w:r>
      <w:r>
        <w:rPr>
          <w:rFonts w:ascii="Arial" w:hAnsi="Arial"/>
          <w:b/>
          <w:color w:val="334155"/>
          <w:sz w:val="20"/>
        </w:rPr>
        <w:t xml:space="preserve">Status: </w:t>
      </w:r>
      <w:r>
        <w:rPr>
          <w:rFonts w:ascii="Arial" w:hAnsi="Arial"/>
          <w:b w:val="0"/>
          <w:color w:val="334155"/>
          <w:sz w:val="20"/>
        </w:rPr>
        <w:t>Verified &amp; Fully Runnable (13/13 Pytest Passed)</w:t>
        <w:br/>
      </w:r>
    </w:p>
    <w:p>
      <w:r>
        <w:br w:type="page"/>
      </w:r>
    </w:p>
    <w:p>
      <w:pPr>
        <w:pStyle w:val="Heading1"/>
        <w:spacing w:before="240" w:after="160"/>
      </w:pPr>
      <w:r>
        <w:t>Abstract</w:t>
      </w:r>
    </w:p>
    <w:p>
      <w:pPr>
        <w:spacing w:line="276" w:lineRule="auto" w:after="280"/>
      </w:pPr>
      <w:r>
        <w:rPr>
          <w:rFonts w:ascii="Arial" w:hAnsi="Arial"/>
          <w:sz w:val="20"/>
        </w:rPr>
        <w:t>Accurate real estate valuation requires capturing complex non-linear interactions across spatial, structural, and temporal dimensions while preventing statistical data leakage. This report details the design, implementation, and empirical validation of an enterprise-grade House Price Prediction system built on the canonical King County House Sales dataset (21,613 residential transactions). Five core property dimensions—Area, Bedrooms, Location, Property Age, and Amenities—were mapped and engineered into predictive signals, including Great Circle distance to Downtown Seattle, renovation recency, and an out-of-fold zipcode target median encoding. A baseline Ordinary Least Squares (OLS) Linear Regression model, an L2-regularized Ridge baseline, a hyperparameter-tuned Random Forest Regressor, and a Gradient Boosting Regressor were evaluated under a rigorous 5-fold cross-validation protocol and a held-out 20% test partition (4,283 properties). The primary Random Forest Regressor achieved an test R² of 0.8724 on original currency (R² = 0.8979 on log-scale price), a Mean Absolute Error (MAE) of $67,108.53, and a Mean Absolute Percentage Error (MAPE) of 12.26%, substantially surpassing the project's R² &gt;= 0.80 benchmark. The end-to-end production architecture encapsulates feature pipelines into serialized joblib artifacts, deploys an asynchronous FastAPI service exposing RESTful valuation endpoints, and synchronizes real-time property snapshots and model inferences into MongoDB collections ('properties' and 'predictions') backed by compound indexes. Automated pytest suites (13/13 passing) verify zero data leakage, schema integrity, and database persistence.</w:t>
      </w:r>
    </w:p>
    <w:p>
      <w:pPr>
        <w:pStyle w:val="Heading1"/>
      </w:pPr>
      <w:r>
        <w:t>1. Introduction and Problem Statement</w:t>
      </w:r>
    </w:p>
    <w:p>
      <w:r>
        <w:t>Residential property valuation is a foundational problem in financial engineering, mortgage underwriting, municipal property taxation, and automated real estate portals. Unlike liquid financial instruments, real estate assets are heterogeneous, infrequently transacted, and heavily governed by micro-locational amenities, construction craftsmanship, and historical renovations.</w:t>
        <w:br/>
        <w:br/>
        <w:t>The primary engineering objective of this project is to construct a scalable, production-grade Automated Valuation Model (AVM) that predicts residential property sale prices from five core input feature groups:</w:t>
        <w:br/>
        <w:t>1. Area: Interior living area, lot size, above-ground space, and basement dimensions.</w:t>
        <w:br/>
        <w:t>2. Bedrooms &amp; Layout: Bedroom count, bathroom count, number of floors, and space-per-room ratios.</w:t>
        <w:br/>
        <w:t>3. Location: Geographic coordinates (latitude/longitude), 5-digit zipcode, and distance to economic centers.</w:t>
        <w:br/>
        <w:t>4. Property Age: Construction year, historical renovations, and effective age since renovation.</w:t>
        <w:br/>
        <w:t>5. Amenities: Waterfront proximity, view quality, physical condition rating, and King County building grade.</w:t>
        <w:br/>
        <w:br/>
        <w:t>A critical engineering requirement is the complete elimination of data leakage across transformation pipelines and cross-validation folds, transparent data cleaning with zero silent record drops, and automated document persistence into a NoSQL database (MongoDB) for auditability.</w:t>
      </w:r>
    </w:p>
    <w:p>
      <w:pPr>
        <w:pStyle w:val="Heading1"/>
      </w:pPr>
      <w:r>
        <w:t>2. Dataset Description and Specification Mapping</w:t>
      </w:r>
    </w:p>
    <w:p>
      <w:r>
        <w:t>The primary data source is the King County House Sales dataset (Kaggle 'harlfoxem/housesalesprediction'), comprising 21,613 residential home sales in King County, Washington (encompassing Seattle, Bellevue, Redmond, and surrounding suburbs) between May 2014 and May 2015. Inspection confirmed zero missing/null values across all 21 raw columns. All 15 required core variables were identified and mapped into the five project specification groups without structural omissions.</w:t>
      </w:r>
    </w:p>
    <w:p>
      <w:r>
        <w:rPr>
          <w:b/>
          <w:sz w:val="20"/>
        </w:rPr>
        <w:t>Table 1: Project Specification to King County Dataset Feature Mapping</w:t>
      </w:r>
    </w:p>
    <w:tbl>
      <w:tblPr>
        <w:tblW w:type="auto" w:w="0"/>
        <w:tblLook w:firstColumn="1" w:firstRow="1" w:lastColumn="0" w:lastRow="0" w:noHBand="0" w:noVBand="1" w:val="04A0"/>
        <w:tblBorders>
          <w:top w:val="single" w:sz="4" w:space="0" w:color="D3D3D3"/>
          <w:bottom w:val="single" w:sz="6" w:space="0" w:color="D3D3D3"/>
          <w:insideH w:val="single" w:sz="4" w:space="0" w:color="D3D3D3"/>
          <w:left w:val="none"/>
          <w:right w:val="none"/>
          <w:insideV w:val="none"/>
        </w:tblBorders>
      </w:tblPr>
      <w:tblGrid>
        <w:gridCol w:w="2340"/>
        <w:gridCol w:w="2340"/>
        <w:gridCol w:w="2340"/>
        <w:gridCol w:w="2340"/>
      </w:tblGrid>
      <w:tr>
        <w:tc>
          <w:tcPr>
            <w:tcW w:type="dxa" w:w="1728"/>
            <w:shd w:fill="1F2937"/>
          </w:tcPr>
          <w:p>
            <w:pPr>
              <w:jc w:val="center"/>
            </w:pPr>
            <w:r>
              <w:rPr>
                <w:rFonts w:ascii="Arial" w:hAnsi="Arial"/>
                <w:b/>
                <w:color w:val="FFFFFF"/>
                <w:sz w:val="19"/>
              </w:rPr>
              <w:t>Spec Group</w:t>
            </w:r>
          </w:p>
        </w:tc>
        <w:tc>
          <w:tcPr>
            <w:tcW w:type="dxa" w:w="2592"/>
            <w:shd w:fill="1F2937"/>
          </w:tcPr>
          <w:p>
            <w:pPr>
              <w:jc w:val="center"/>
            </w:pPr>
            <w:r>
              <w:rPr>
                <w:rFonts w:ascii="Arial" w:hAnsi="Arial"/>
                <w:b/>
                <w:color w:val="FFFFFF"/>
                <w:sz w:val="19"/>
              </w:rPr>
              <w:t>Raw Dataset Columns</w:t>
            </w:r>
          </w:p>
        </w:tc>
        <w:tc>
          <w:tcPr>
            <w:tcW w:type="dxa" w:w="2592"/>
            <w:shd w:fill="1F2937"/>
          </w:tcPr>
          <w:p>
            <w:pPr>
              <w:jc w:val="center"/>
            </w:pPr>
            <w:r>
              <w:rPr>
                <w:rFonts w:ascii="Arial" w:hAnsi="Arial"/>
                <w:b/>
                <w:color w:val="FFFFFF"/>
                <w:sz w:val="19"/>
              </w:rPr>
              <w:t>Engineered Features</w:t>
            </w:r>
          </w:p>
        </w:tc>
        <w:tc>
          <w:tcPr>
            <w:tcW w:type="dxa" w:w="2448"/>
            <w:shd w:fill="1F2937"/>
          </w:tcPr>
          <w:p>
            <w:pPr>
              <w:jc w:val="center"/>
            </w:pPr>
            <w:r>
              <w:rPr>
                <w:rFonts w:ascii="Arial" w:hAnsi="Arial"/>
                <w:b/>
                <w:color w:val="FFFFFF"/>
                <w:sz w:val="19"/>
              </w:rPr>
              <w:t>Domain Rationale</w:t>
            </w:r>
          </w:p>
        </w:tc>
      </w:tr>
      <w:tr>
        <w:tc>
          <w:tcPr>
            <w:tcW w:type="dxa" w:w="1728"/>
            <w:shd w:fill="F8FAFC"/>
          </w:tcPr>
          <w:p>
            <w:pPr>
              <w:jc w:val="left"/>
            </w:pPr>
            <w:r>
              <w:rPr>
                <w:rFonts w:ascii="Arial" w:hAnsi="Arial"/>
                <w:sz w:val="17"/>
              </w:rPr>
              <w:t>Area</w:t>
            </w:r>
          </w:p>
        </w:tc>
        <w:tc>
          <w:tcPr>
            <w:tcW w:type="dxa" w:w="2592"/>
            <w:shd w:fill="F8FAFC"/>
          </w:tcPr>
          <w:p>
            <w:pPr>
              <w:jc w:val="left"/>
            </w:pPr>
            <w:r>
              <w:rPr>
                <w:rFonts w:ascii="Arial" w:hAnsi="Arial"/>
                <w:sz w:val="17"/>
              </w:rPr>
              <w:t>sqft_living, sqft_lot, sqft_above, sqft_basement</w:t>
            </w:r>
          </w:p>
        </w:tc>
        <w:tc>
          <w:tcPr>
            <w:tcW w:type="dxa" w:w="2592"/>
            <w:shd w:fill="F8FAFC"/>
          </w:tcPr>
          <w:p>
            <w:pPr>
              <w:jc w:val="left"/>
            </w:pPr>
            <w:r>
              <w:rPr>
                <w:rFonts w:ascii="Arial" w:hAnsi="Arial"/>
                <w:sz w:val="17"/>
              </w:rPr>
              <w:t>living_to_lot_ratio, has_basement</w:t>
            </w:r>
          </w:p>
        </w:tc>
        <w:tc>
          <w:tcPr>
            <w:tcW w:type="dxa" w:w="2448"/>
            <w:shd w:fill="F8FAFC"/>
          </w:tcPr>
          <w:p>
            <w:pPr>
              <w:jc w:val="left"/>
            </w:pPr>
            <w:r>
              <w:rPr>
                <w:rFonts w:ascii="Arial" w:hAnsi="Arial"/>
                <w:sz w:val="17"/>
              </w:rPr>
              <w:t>Captures vertical expansion vs. footprint density</w:t>
            </w:r>
          </w:p>
        </w:tc>
      </w:tr>
      <w:tr>
        <w:tc>
          <w:tcPr>
            <w:tcW w:type="dxa" w:w="1728"/>
          </w:tcPr>
          <w:p>
            <w:pPr>
              <w:jc w:val="left"/>
            </w:pPr>
            <w:r>
              <w:rPr>
                <w:rFonts w:ascii="Arial" w:hAnsi="Arial"/>
                <w:sz w:val="17"/>
              </w:rPr>
              <w:t>Bedrooms</w:t>
            </w:r>
          </w:p>
        </w:tc>
        <w:tc>
          <w:tcPr>
            <w:tcW w:type="dxa" w:w="2592"/>
          </w:tcPr>
          <w:p>
            <w:pPr>
              <w:jc w:val="left"/>
            </w:pPr>
            <w:r>
              <w:rPr>
                <w:rFonts w:ascii="Arial" w:hAnsi="Arial"/>
                <w:sz w:val="17"/>
              </w:rPr>
              <w:t>bedrooms, bathrooms, floors</w:t>
            </w:r>
          </w:p>
        </w:tc>
        <w:tc>
          <w:tcPr>
            <w:tcW w:type="dxa" w:w="2592"/>
          </w:tcPr>
          <w:p>
            <w:pPr>
              <w:jc w:val="left"/>
            </w:pPr>
            <w:r>
              <w:rPr>
                <w:rFonts w:ascii="Arial" w:hAnsi="Arial"/>
                <w:sz w:val="17"/>
              </w:rPr>
              <w:t>bed_to_bath_ratio, sqft_per_room</w:t>
            </w:r>
          </w:p>
        </w:tc>
        <w:tc>
          <w:tcPr>
            <w:tcW w:type="dxa" w:w="2448"/>
          </w:tcPr>
          <w:p>
            <w:pPr>
              <w:jc w:val="left"/>
            </w:pPr>
            <w:r>
              <w:rPr>
                <w:rFonts w:ascii="Arial" w:hAnsi="Arial"/>
                <w:sz w:val="17"/>
              </w:rPr>
              <w:t>Reflects functional layout balance and spaciousness</w:t>
            </w:r>
          </w:p>
        </w:tc>
      </w:tr>
      <w:tr>
        <w:tc>
          <w:tcPr>
            <w:tcW w:type="dxa" w:w="1728"/>
            <w:shd w:fill="F8FAFC"/>
          </w:tcPr>
          <w:p>
            <w:pPr>
              <w:jc w:val="left"/>
            </w:pPr>
            <w:r>
              <w:rPr>
                <w:rFonts w:ascii="Arial" w:hAnsi="Arial"/>
                <w:sz w:val="17"/>
              </w:rPr>
              <w:t>Location</w:t>
            </w:r>
          </w:p>
        </w:tc>
        <w:tc>
          <w:tcPr>
            <w:tcW w:type="dxa" w:w="2592"/>
            <w:shd w:fill="F8FAFC"/>
          </w:tcPr>
          <w:p>
            <w:pPr>
              <w:jc w:val="left"/>
            </w:pPr>
            <w:r>
              <w:rPr>
                <w:rFonts w:ascii="Arial" w:hAnsi="Arial"/>
                <w:sz w:val="17"/>
              </w:rPr>
              <w:t>zipcode, lat, long</w:t>
            </w:r>
          </w:p>
        </w:tc>
        <w:tc>
          <w:tcPr>
            <w:tcW w:type="dxa" w:w="2592"/>
            <w:shd w:fill="F8FAFC"/>
          </w:tcPr>
          <w:p>
            <w:pPr>
              <w:jc w:val="left"/>
            </w:pPr>
            <w:r>
              <w:rPr>
                <w:rFonts w:ascii="Arial" w:hAnsi="Arial"/>
                <w:sz w:val="17"/>
              </w:rPr>
              <w:t>distance_to_seattle, zipcode_target_enc</w:t>
            </w:r>
          </w:p>
        </w:tc>
        <w:tc>
          <w:tcPr>
            <w:tcW w:type="dxa" w:w="2448"/>
            <w:shd w:fill="F8FAFC"/>
          </w:tcPr>
          <w:p>
            <w:pPr>
              <w:jc w:val="left"/>
            </w:pPr>
            <w:r>
              <w:rPr>
                <w:rFonts w:ascii="Arial" w:hAnsi="Arial"/>
                <w:sz w:val="17"/>
              </w:rPr>
              <w:t>Quantifies central business district commute and local micro-markets</w:t>
            </w:r>
          </w:p>
        </w:tc>
      </w:tr>
      <w:tr>
        <w:tc>
          <w:tcPr>
            <w:tcW w:type="dxa" w:w="1728"/>
          </w:tcPr>
          <w:p>
            <w:pPr>
              <w:jc w:val="left"/>
            </w:pPr>
            <w:r>
              <w:rPr>
                <w:rFonts w:ascii="Arial" w:hAnsi="Arial"/>
                <w:sz w:val="17"/>
              </w:rPr>
              <w:t>Property Age</w:t>
            </w:r>
          </w:p>
        </w:tc>
        <w:tc>
          <w:tcPr>
            <w:tcW w:type="dxa" w:w="2592"/>
          </w:tcPr>
          <w:p>
            <w:pPr>
              <w:jc w:val="left"/>
            </w:pPr>
            <w:r>
              <w:rPr>
                <w:rFonts w:ascii="Arial" w:hAnsi="Arial"/>
                <w:sz w:val="17"/>
              </w:rPr>
              <w:t>yr_built, yr_renovated, sale_date</w:t>
            </w:r>
          </w:p>
        </w:tc>
        <w:tc>
          <w:tcPr>
            <w:tcW w:type="dxa" w:w="2592"/>
          </w:tcPr>
          <w:p>
            <w:pPr>
              <w:jc w:val="left"/>
            </w:pPr>
            <w:r>
              <w:rPr>
                <w:rFonts w:ascii="Arial" w:hAnsi="Arial"/>
                <w:sz w:val="17"/>
              </w:rPr>
              <w:t>age, is_renovated, years_since_renovation</w:t>
            </w:r>
          </w:p>
        </w:tc>
        <w:tc>
          <w:tcPr>
            <w:tcW w:type="dxa" w:w="2448"/>
          </w:tcPr>
          <w:p>
            <w:pPr>
              <w:jc w:val="left"/>
            </w:pPr>
            <w:r>
              <w:rPr>
                <w:rFonts w:ascii="Arial" w:hAnsi="Arial"/>
                <w:sz w:val="17"/>
              </w:rPr>
              <w:t>Distinguishes original vintage from modernized infrastructure</w:t>
            </w:r>
          </w:p>
        </w:tc>
      </w:tr>
      <w:tr>
        <w:tc>
          <w:tcPr>
            <w:tcW w:type="dxa" w:w="1728"/>
            <w:shd w:fill="F8FAFC"/>
          </w:tcPr>
          <w:p>
            <w:pPr>
              <w:jc w:val="left"/>
            </w:pPr>
            <w:r>
              <w:rPr>
                <w:rFonts w:ascii="Arial" w:hAnsi="Arial"/>
                <w:sz w:val="17"/>
              </w:rPr>
              <w:t>Amenities</w:t>
            </w:r>
          </w:p>
        </w:tc>
        <w:tc>
          <w:tcPr>
            <w:tcW w:type="dxa" w:w="2592"/>
            <w:shd w:fill="F8FAFC"/>
          </w:tcPr>
          <w:p>
            <w:pPr>
              <w:jc w:val="left"/>
            </w:pPr>
            <w:r>
              <w:rPr>
                <w:rFonts w:ascii="Arial" w:hAnsi="Arial"/>
                <w:sz w:val="17"/>
              </w:rPr>
              <w:t>waterfront, view, condition, grade</w:t>
            </w:r>
          </w:p>
        </w:tc>
        <w:tc>
          <w:tcPr>
            <w:tcW w:type="dxa" w:w="2592"/>
            <w:shd w:fill="F8FAFC"/>
          </w:tcPr>
          <w:p>
            <w:pPr>
              <w:jc w:val="left"/>
            </w:pPr>
            <w:r>
              <w:rPr>
                <w:rFonts w:ascii="Arial" w:hAnsi="Arial"/>
                <w:sz w:val="17"/>
              </w:rPr>
              <w:t>amenity_score (weighted composite)</w:t>
            </w:r>
          </w:p>
        </w:tc>
        <w:tc>
          <w:tcPr>
            <w:tcW w:type="dxa" w:w="2448"/>
            <w:shd w:fill="F8FAFC"/>
          </w:tcPr>
          <w:p>
            <w:pPr>
              <w:jc w:val="left"/>
            </w:pPr>
            <w:r>
              <w:rPr>
                <w:rFonts w:ascii="Arial" w:hAnsi="Arial"/>
                <w:sz w:val="17"/>
              </w:rPr>
              <w:t>Synthesizes multi-dimensional King County luxury indicators</w:t>
            </w:r>
          </w:p>
        </w:tc>
      </w:tr>
    </w:tbl>
    <w:p>
      <w:pPr>
        <w:spacing w:after="160"/>
      </w:pPr>
    </w:p>
    <w:p>
      <w:pPr>
        <w:pStyle w:val="Heading1"/>
      </w:pPr>
      <w:r>
        <w:t>3. Exploratory Data Analysis (EDA) Findings</w:t>
      </w:r>
    </w:p>
    <w:p>
      <w:r>
        <w:t>Extensive exploratory analysis revealed crucial statistical characteristics of King County real estate transactions:</w:t>
        <w:br/>
        <w:br/>
        <w:t>• Target Distribution &amp; Skewness: Sale prices span from $75,000 to $7,700,000 with a sample mean of $540,088 and a median of $450,000. The raw price distribution exhibits pronounced right-skewness (skewness = 4.02). Applying the natural logarithmic transformation log1p(price) reduces skewness to 0.43, producing a near-Gaussian distribution that stabilizes variance for linear and tree-based gradient estimations.</w:t>
        <w:br/>
        <w:br/>
        <w:t>• Correlation Structure: King County building grade (r = 0.70) and interior living space (r = 0.69) demonstrate the strongest positive correlations with log-price, followed by sqft_above (r = 0.60), bathrooms (r = 0.55), and latitude (r = 0.45). Spatial proximity to Seattle downtown displays a strong negative correlation (r = -0.35), confirming that homes closer to the Seattle commercial core command substantial price premiums.</w:t>
      </w:r>
    </w:p>
    <w:p>
      <w:pPr>
        <w:spacing w:before="16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486400" cy="3429000"/>
                    </a:xfrm>
                    <a:prstGeom prst="rect"/>
                  </pic:spPr>
                </pic:pic>
              </a:graphicData>
            </a:graphic>
          </wp:inline>
        </w:drawing>
      </w:r>
    </w:p>
    <w:p>
      <w:pPr>
        <w:spacing w:before="40" w:after="240"/>
        <w:jc w:val="center"/>
      </w:pPr>
      <w:r>
        <w:rPr>
          <w:i/>
          <w:color w:val="4B5563"/>
          <w:sz w:val="18"/>
        </w:rPr>
        <w:t>Figure 1: Distribution of Sale Prices in King County (Original Currency in USD)</w:t>
      </w:r>
    </w:p>
    <w:p>
      <w:pPr>
        <w:spacing w:before="16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log_price_distribution.png"/>
                    <pic:cNvPicPr/>
                  </pic:nvPicPr>
                  <pic:blipFill>
                    <a:blip r:embed="rId10"/>
                    <a:stretch>
                      <a:fillRect/>
                    </a:stretch>
                  </pic:blipFill>
                  <pic:spPr>
                    <a:xfrm>
                      <a:off x="0" y="0"/>
                      <a:ext cx="5486400" cy="3429000"/>
                    </a:xfrm>
                    <a:prstGeom prst="rect"/>
                  </pic:spPr>
                </pic:pic>
              </a:graphicData>
            </a:graphic>
          </wp:inline>
        </w:drawing>
      </w:r>
    </w:p>
    <w:p>
      <w:pPr>
        <w:spacing w:before="40" w:after="240"/>
        <w:jc w:val="center"/>
      </w:pPr>
      <w:r>
        <w:rPr>
          <w:i/>
          <w:color w:val="4B5563"/>
          <w:sz w:val="18"/>
        </w:rPr>
        <w:t>Figure 2: Distribution of Log-Transformed Sale Price [log1p(price)]</w:t>
      </w:r>
    </w:p>
    <w:p>
      <w:pPr>
        <w:spacing w:before="160" w:after="80"/>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486400" cy="4389120"/>
                    </a:xfrm>
                    <a:prstGeom prst="rect"/>
                  </pic:spPr>
                </pic:pic>
              </a:graphicData>
            </a:graphic>
          </wp:inline>
        </w:drawing>
      </w:r>
    </w:p>
    <w:p>
      <w:pPr>
        <w:spacing w:before="40" w:after="240"/>
        <w:jc w:val="center"/>
      </w:pPr>
      <w:r>
        <w:rPr>
          <w:i/>
          <w:color w:val="4B5563"/>
          <w:sz w:val="18"/>
        </w:rPr>
        <w:t>Figure 3: Pearson Correlation Heatmap across Primary Housing Attributes</w:t>
      </w:r>
    </w:p>
    <w:p>
      <w:pPr>
        <w:spacing w:before="16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price_vs_sqft_living.png"/>
                    <pic:cNvPicPr/>
                  </pic:nvPicPr>
                  <pic:blipFill>
                    <a:blip r:embed="rId12"/>
                    <a:stretch>
                      <a:fillRect/>
                    </a:stretch>
                  </pic:blipFill>
                  <pic:spPr>
                    <a:xfrm>
                      <a:off x="0" y="0"/>
                      <a:ext cx="5486400" cy="3657600"/>
                    </a:xfrm>
                    <a:prstGeom prst="rect"/>
                  </pic:spPr>
                </pic:pic>
              </a:graphicData>
            </a:graphic>
          </wp:inline>
        </w:drawing>
      </w:r>
    </w:p>
    <w:p>
      <w:pPr>
        <w:spacing w:before="40" w:after="240"/>
        <w:jc w:val="center"/>
      </w:pPr>
      <w:r>
        <w:rPr>
          <w:i/>
          <w:color w:val="4B5563"/>
          <w:sz w:val="18"/>
        </w:rPr>
        <w:t>Figure 4: Property Sale Price vs. Interior Living Area (sqft_living) Colored by Construction Grade</w:t>
      </w:r>
    </w:p>
    <w:p>
      <w:pPr>
        <w:spacing w:before="160" w:after="80"/>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price_by_zipcode_top_bottom_10.png"/>
                    <pic:cNvPicPr/>
                  </pic:nvPicPr>
                  <pic:blipFill>
                    <a:blip r:embed="rId13"/>
                    <a:stretch>
                      <a:fillRect/>
                    </a:stretch>
                  </pic:blipFill>
                  <pic:spPr>
                    <a:xfrm>
                      <a:off x="0" y="0"/>
                      <a:ext cx="5486400" cy="3291840"/>
                    </a:xfrm>
                    <a:prstGeom prst="rect"/>
                  </pic:spPr>
                </pic:pic>
              </a:graphicData>
            </a:graphic>
          </wp:inline>
        </w:drawing>
      </w:r>
    </w:p>
    <w:p>
      <w:pPr>
        <w:spacing w:before="40" w:after="240"/>
        <w:jc w:val="center"/>
      </w:pPr>
      <w:r>
        <w:rPr>
          <w:i/>
          <w:color w:val="4B5563"/>
          <w:sz w:val="18"/>
        </w:rPr>
        <w:t>Figure 5: Median Sale Price by Zipcode (Top 10 and Bottom 10 King County Zipcodes)</w:t>
      </w:r>
    </w:p>
    <w:p>
      <w:r>
        <w:t>• Outlier Diagnostics &amp; Transparent Cleaning: Analysis identified 353 transaction records corresponding to 176 unique properties sold multiple times during the 2014-2015 monitoring period. The pipeline sorts transactions chronologically and retains only the latest sale per property, eliminating 177 duplicate transactions. Domain inspection uncovered a famous data error: ID 2402100895 listed with 33 bedrooms for a 1,620 sqft house with 1.75 bathrooms (an obvious clerical typo for 3 bedrooms). Additionally, 16 properties had 0 bedrooms or 0 bathrooms. A documented domain rule (bedrooms in [1, 10], bathrooms &gt;= 0.5, sqft_living &gt;= 300, price in [$50k, $5M]) removed exactly 25 non-residential or extreme outlier records, preserving 21,411 valid residential records (99.07% of the raw dataset) with zero silent record drops.</w:t>
      </w:r>
    </w:p>
    <w:p>
      <w:pPr>
        <w:spacing w:before="160" w:after="80"/>
        <w:jc w:val="center"/>
      </w:pPr>
      <w:r>
        <w:drawing>
          <wp:inline xmlns:a="http://schemas.openxmlformats.org/drawingml/2006/main" xmlns:pic="http://schemas.openxmlformats.org/drawingml/2006/picture">
            <wp:extent cx="5486400" cy="2286000"/>
            <wp:docPr id="6" name="Picture 6"/>
            <wp:cNvGraphicFramePr>
              <a:graphicFrameLocks noChangeAspect="1"/>
            </wp:cNvGraphicFramePr>
            <a:graphic>
              <a:graphicData uri="http://schemas.openxmlformats.org/drawingml/2006/picture">
                <pic:pic>
                  <pic:nvPicPr>
                    <pic:cNvPr id="0" name="outliers_analysis.png"/>
                    <pic:cNvPicPr/>
                  </pic:nvPicPr>
                  <pic:blipFill>
                    <a:blip r:embed="rId14"/>
                    <a:stretch>
                      <a:fillRect/>
                    </a:stretch>
                  </pic:blipFill>
                  <pic:spPr>
                    <a:xfrm>
                      <a:off x="0" y="0"/>
                      <a:ext cx="5486400" cy="2286000"/>
                    </a:xfrm>
                    <a:prstGeom prst="rect"/>
                  </pic:spPr>
                </pic:pic>
              </a:graphicData>
            </a:graphic>
          </wp:inline>
        </w:drawing>
      </w:r>
    </w:p>
    <w:p>
      <w:pPr>
        <w:spacing w:before="40" w:after="240"/>
        <w:jc w:val="center"/>
      </w:pPr>
      <w:r>
        <w:rPr>
          <w:i/>
          <w:color w:val="4B5563"/>
          <w:sz w:val="18"/>
        </w:rPr>
        <w:t>Figure 6: Data Cleaning and Outlier Diagnostics (King County Sales)</w:t>
      </w:r>
    </w:p>
    <w:p>
      <w:r>
        <w:rPr>
          <w:b/>
          <w:sz w:val="20"/>
        </w:rPr>
        <w:t>Table 2: Data Cleaning and Outlier Removal Audit Trail</w:t>
      </w:r>
    </w:p>
    <w:tbl>
      <w:tblPr>
        <w:tblW w:type="auto" w:w="0"/>
        <w:tblLook w:firstColumn="1" w:firstRow="1" w:lastColumn="0" w:lastRow="0" w:noHBand="0" w:noVBand="1" w:val="04A0"/>
        <w:tblBorders>
          <w:top w:val="single" w:sz="4" w:space="0" w:color="D3D3D3"/>
          <w:bottom w:val="single" w:sz="6" w:space="0" w:color="D3D3D3"/>
          <w:insideH w:val="single" w:sz="4" w:space="0" w:color="D3D3D3"/>
          <w:left w:val="none"/>
          <w:right w:val="none"/>
          <w:insideV w:val="none"/>
        </w:tblBorders>
      </w:tblPr>
      <w:tblGrid>
        <w:gridCol w:w="2340"/>
        <w:gridCol w:w="2340"/>
        <w:gridCol w:w="2340"/>
        <w:gridCol w:w="2340"/>
      </w:tblGrid>
      <w:tr>
        <w:tc>
          <w:tcPr>
            <w:tcW w:type="dxa" w:w="2880"/>
            <w:shd w:fill="1F2937"/>
          </w:tcPr>
          <w:p>
            <w:pPr>
              <w:jc w:val="center"/>
            </w:pPr>
            <w:r>
              <w:rPr>
                <w:rFonts w:ascii="Arial" w:hAnsi="Arial"/>
                <w:b/>
                <w:color w:val="FFFFFF"/>
                <w:sz w:val="19"/>
              </w:rPr>
              <w:t>Pipeline Stage</w:t>
            </w:r>
          </w:p>
        </w:tc>
        <w:tc>
          <w:tcPr>
            <w:tcW w:type="dxa" w:w="2160"/>
            <w:shd w:fill="1F2937"/>
          </w:tcPr>
          <w:p>
            <w:pPr>
              <w:jc w:val="center"/>
            </w:pPr>
            <w:r>
              <w:rPr>
                <w:rFonts w:ascii="Arial" w:hAnsi="Arial"/>
                <w:b/>
                <w:color w:val="FFFFFF"/>
                <w:sz w:val="19"/>
              </w:rPr>
              <w:t>Input Rows</w:t>
            </w:r>
          </w:p>
        </w:tc>
        <w:tc>
          <w:tcPr>
            <w:tcW w:type="dxa" w:w="2160"/>
            <w:shd w:fill="1F2937"/>
          </w:tcPr>
          <w:p>
            <w:pPr>
              <w:jc w:val="center"/>
            </w:pPr>
            <w:r>
              <w:rPr>
                <w:rFonts w:ascii="Arial" w:hAnsi="Arial"/>
                <w:b/>
                <w:color w:val="FFFFFF"/>
                <w:sz w:val="19"/>
              </w:rPr>
              <w:t>Rows Dropped</w:t>
            </w:r>
          </w:p>
        </w:tc>
        <w:tc>
          <w:tcPr>
            <w:tcW w:type="dxa" w:w="2160"/>
            <w:shd w:fill="1F2937"/>
          </w:tcPr>
          <w:p>
            <w:pPr>
              <w:jc w:val="center"/>
            </w:pPr>
            <w:r>
              <w:rPr>
                <w:rFonts w:ascii="Arial" w:hAnsi="Arial"/>
                <w:b/>
                <w:color w:val="FFFFFF"/>
                <w:sz w:val="19"/>
              </w:rPr>
              <w:t>Retention Rate (%)</w:t>
            </w:r>
          </w:p>
        </w:tc>
      </w:tr>
      <w:tr>
        <w:tc>
          <w:tcPr>
            <w:tcW w:type="dxa" w:w="2880"/>
            <w:shd w:fill="F8FAFC"/>
          </w:tcPr>
          <w:p>
            <w:pPr>
              <w:jc w:val="left"/>
            </w:pPr>
            <w:r>
              <w:rPr>
                <w:rFonts w:ascii="Arial" w:hAnsi="Arial"/>
                <w:sz w:val="18"/>
              </w:rPr>
              <w:t>Raw Kaggle Ingestion</w:t>
            </w:r>
          </w:p>
        </w:tc>
        <w:tc>
          <w:tcPr>
            <w:tcW w:type="dxa" w:w="2160"/>
            <w:shd w:fill="F8FAFC"/>
          </w:tcPr>
          <w:p>
            <w:pPr>
              <w:jc w:val="center"/>
            </w:pPr>
            <w:r>
              <w:rPr>
                <w:rFonts w:ascii="Arial" w:hAnsi="Arial"/>
                <w:sz w:val="18"/>
              </w:rPr>
              <w:t>21,613</w:t>
            </w:r>
          </w:p>
        </w:tc>
        <w:tc>
          <w:tcPr>
            <w:tcW w:type="dxa" w:w="2160"/>
            <w:shd w:fill="F8FAFC"/>
          </w:tcPr>
          <w:p>
            <w:pPr>
              <w:jc w:val="center"/>
            </w:pPr>
            <w:r>
              <w:rPr>
                <w:rFonts w:ascii="Arial" w:hAnsi="Arial"/>
                <w:sz w:val="18"/>
              </w:rPr>
              <w:t>0</w:t>
            </w:r>
          </w:p>
        </w:tc>
        <w:tc>
          <w:tcPr>
            <w:tcW w:type="dxa" w:w="2160"/>
            <w:shd w:fill="F8FAFC"/>
          </w:tcPr>
          <w:p>
            <w:pPr>
              <w:jc w:val="center"/>
            </w:pPr>
            <w:r>
              <w:rPr>
                <w:rFonts w:ascii="Arial" w:hAnsi="Arial"/>
                <w:sz w:val="18"/>
              </w:rPr>
              <w:t>100.00%</w:t>
            </w:r>
          </w:p>
        </w:tc>
      </w:tr>
      <w:tr>
        <w:tc>
          <w:tcPr>
            <w:tcW w:type="dxa" w:w="2880"/>
          </w:tcPr>
          <w:p>
            <w:pPr>
              <w:jc w:val="left"/>
            </w:pPr>
            <w:r>
              <w:rPr>
                <w:rFonts w:ascii="Arial" w:hAnsi="Arial"/>
                <w:sz w:val="18"/>
              </w:rPr>
              <w:t>Deduplication by Property ID</w:t>
            </w:r>
          </w:p>
        </w:tc>
        <w:tc>
          <w:tcPr>
            <w:tcW w:type="dxa" w:w="2160"/>
          </w:tcPr>
          <w:p>
            <w:pPr>
              <w:jc w:val="center"/>
            </w:pPr>
            <w:r>
              <w:rPr>
                <w:rFonts w:ascii="Arial" w:hAnsi="Arial"/>
                <w:sz w:val="18"/>
              </w:rPr>
              <w:t>21,613</w:t>
            </w:r>
          </w:p>
        </w:tc>
        <w:tc>
          <w:tcPr>
            <w:tcW w:type="dxa" w:w="2160"/>
          </w:tcPr>
          <w:p>
            <w:pPr>
              <w:jc w:val="center"/>
            </w:pPr>
            <w:r>
              <w:rPr>
                <w:rFonts w:ascii="Arial" w:hAnsi="Arial"/>
                <w:sz w:val="18"/>
              </w:rPr>
              <w:t>177 earlier sales</w:t>
            </w:r>
          </w:p>
        </w:tc>
        <w:tc>
          <w:tcPr>
            <w:tcW w:type="dxa" w:w="2160"/>
          </w:tcPr>
          <w:p>
            <w:pPr>
              <w:jc w:val="center"/>
            </w:pPr>
            <w:r>
              <w:rPr>
                <w:rFonts w:ascii="Arial" w:hAnsi="Arial"/>
                <w:sz w:val="18"/>
              </w:rPr>
              <w:t>99.18%</w:t>
            </w:r>
          </w:p>
        </w:tc>
      </w:tr>
      <w:tr>
        <w:tc>
          <w:tcPr>
            <w:tcW w:type="dxa" w:w="2880"/>
            <w:shd w:fill="F8FAFC"/>
          </w:tcPr>
          <w:p>
            <w:pPr>
              <w:jc w:val="left"/>
            </w:pPr>
            <w:r>
              <w:rPr>
                <w:rFonts w:ascii="Arial" w:hAnsi="Arial"/>
                <w:sz w:val="18"/>
              </w:rPr>
              <w:t>Domain Outlier Filter</w:t>
            </w:r>
          </w:p>
        </w:tc>
        <w:tc>
          <w:tcPr>
            <w:tcW w:type="dxa" w:w="2160"/>
            <w:shd w:fill="F8FAFC"/>
          </w:tcPr>
          <w:p>
            <w:pPr>
              <w:jc w:val="center"/>
            </w:pPr>
            <w:r>
              <w:rPr>
                <w:rFonts w:ascii="Arial" w:hAnsi="Arial"/>
                <w:sz w:val="18"/>
              </w:rPr>
              <w:t>21,436</w:t>
            </w:r>
          </w:p>
        </w:tc>
        <w:tc>
          <w:tcPr>
            <w:tcW w:type="dxa" w:w="2160"/>
            <w:shd w:fill="F8FAFC"/>
          </w:tcPr>
          <w:p>
            <w:pPr>
              <w:jc w:val="center"/>
            </w:pPr>
            <w:r>
              <w:rPr>
                <w:rFonts w:ascii="Arial" w:hAnsi="Arial"/>
                <w:sz w:val="18"/>
              </w:rPr>
              <w:t>25 anomalous records</w:t>
            </w:r>
          </w:p>
        </w:tc>
        <w:tc>
          <w:tcPr>
            <w:tcW w:type="dxa" w:w="2160"/>
            <w:shd w:fill="F8FAFC"/>
          </w:tcPr>
          <w:p>
            <w:pPr>
              <w:jc w:val="center"/>
            </w:pPr>
            <w:r>
              <w:rPr>
                <w:rFonts w:ascii="Arial" w:hAnsi="Arial"/>
                <w:sz w:val="18"/>
              </w:rPr>
              <w:t>99.07%</w:t>
            </w:r>
          </w:p>
        </w:tc>
      </w:tr>
      <w:tr>
        <w:tc>
          <w:tcPr>
            <w:tcW w:type="dxa" w:w="2880"/>
          </w:tcPr>
          <w:p>
            <w:pPr>
              <w:jc w:val="left"/>
            </w:pPr>
            <w:r>
              <w:rPr>
                <w:rFonts w:ascii="Arial" w:hAnsi="Arial"/>
                <w:sz w:val="18"/>
              </w:rPr>
              <w:t>Final Cleaned Production Data</w:t>
            </w:r>
          </w:p>
        </w:tc>
        <w:tc>
          <w:tcPr>
            <w:tcW w:type="dxa" w:w="2160"/>
          </w:tcPr>
          <w:p>
            <w:pPr>
              <w:jc w:val="center"/>
            </w:pPr>
            <w:r>
              <w:rPr>
                <w:rFonts w:ascii="Arial" w:hAnsi="Arial"/>
                <w:sz w:val="18"/>
              </w:rPr>
              <w:t>21,411</w:t>
            </w:r>
          </w:p>
        </w:tc>
        <w:tc>
          <w:tcPr>
            <w:tcW w:type="dxa" w:w="2160"/>
          </w:tcPr>
          <w:p>
            <w:pPr>
              <w:jc w:val="center"/>
            </w:pPr>
            <w:r>
              <w:rPr>
                <w:rFonts w:ascii="Arial" w:hAnsi="Arial"/>
                <w:sz w:val="18"/>
              </w:rPr>
              <w:t>202 total removed</w:t>
            </w:r>
          </w:p>
        </w:tc>
        <w:tc>
          <w:tcPr>
            <w:tcW w:type="dxa" w:w="2160"/>
          </w:tcPr>
          <w:p>
            <w:pPr>
              <w:jc w:val="center"/>
            </w:pPr>
            <w:r>
              <w:rPr>
                <w:rFonts w:ascii="Arial" w:hAnsi="Arial"/>
                <w:sz w:val="18"/>
              </w:rPr>
              <w:t>99.07%</w:t>
            </w:r>
          </w:p>
        </w:tc>
      </w:tr>
    </w:tbl>
    <w:p>
      <w:pPr>
        <w:spacing w:after="160"/>
      </w:pPr>
    </w:p>
    <w:p>
      <w:pPr>
        <w:pStyle w:val="Heading1"/>
      </w:pPr>
      <w:r>
        <w:t>4. Preprocessing and Feature Engineering</w:t>
      </w:r>
    </w:p>
    <w:p>
      <w:r>
        <w:t>To maximize model predictive capacity while maintaining production interpretability, feature transformations were structured into five distinct domain groups:</w:t>
        <w:br/>
        <w:br/>
        <w:t>1. Area Interactions: Beyond raw sqft metrics, we engineered living_to_lot_ratio = sqft_living / sqft_lot and a binary has_basement indicator. These capture vertical development density and subterranean utility.</w:t>
        <w:br/>
        <w:t>2. Bedrooms &amp; Spaciousness: We engineered bed_to_bath_ratio = bedrooms / max(bathrooms, 0.5) and sqft_per_room = sqft_living / (bedrooms + bathrooms), penalizing congested layouts and rewarding open floor plans.</w:t>
        <w:br/>
        <w:t>3. Spatial Proximity: Using the Haversine Great Circle geodesic formula, we calculated distance_to_seattle (in miles) from property coordinates to Downtown Seattle (Pike Place reference: 47.6062° N, -122.3321° W). This provides a continuous spatial decay signal.</w:t>
        <w:br/>
        <w:t>4. Property Age &amp; Renovation: Built age was calculated as age = sale_year - yr_built. For modernized properties, years_since_renovation reflects elapsed time since major capital improvement, preventing historic renovated homes from being penalized as dilapidated structures.</w:t>
        <w:br/>
        <w:t>5. Composite Amenity Score: To synthesize King County's ordinal ratings into a unified luxury index, we formulated:</w:t>
        <w:br/>
        <w:t xml:space="preserve">   AmenityScore = 3.0 × waterfront + 1.5 × (view / 4) + 1.0 × ((condition - 1) / 4) + 2.5 × ((grade - 1) / 12)</w:t>
        <w:br/>
        <w:br/>
        <w:t>Zero Data Leakage Protocol: To incorporate high-cardinality zipcode signals without risk of data leakage, a custom Scikit-Learn transformer (ZipcodeTargetEncoder) computes the median log1p(price) per zipcode strictly on training folds. Unseen zipcodes encountered during inference fall back to the global training median. All scalers and transformers are fit solely on training partitions.</w:t>
      </w:r>
    </w:p>
    <w:p>
      <w:pPr>
        <w:pStyle w:val="Heading1"/>
      </w:pPr>
      <w:r>
        <w:t>5. Methodology and Experimental Setup</w:t>
      </w:r>
    </w:p>
    <w:p>
      <w:r>
        <w:t>The modeling strategy encompasses baseline benchmarks, regularized linear algorithms, ensemble decision trees, and gradient boosting:</w:t>
        <w:br/>
        <w:br/>
        <w:t>• Data Partitioning: The cleaned dataset (21,411 rows) was partitioned into an 80% training set (17,128 records) and a 20% holdout test set (4,283 records) using a fixed random seed (random_state=42). Model validation was conducted via 5-Fold Cross-Validation on the training partition.</w:t>
        <w:br/>
        <w:br/>
        <w:t>• Baseline Linear Regression (OLS): Numeric features standardized via StandardScaler; zipcode one-hot encoded (70 binary indicators). Serves as the interpretable parametric baseline.</w:t>
        <w:br/>
        <w:br/>
        <w:t>• Ridge Regression: L2-regularized linear model with alpha=10.0 to mitigate multicollinearity between living area and room counts.</w:t>
        <w:br/>
        <w:br/>
        <w:t>• Random Forest Regressor (Primary Model): An ensemble of decision trees trained on sub-sampled feature sets to capture complex non-linear geographic boundaries and non-additive interactions. Hyperparameters were tuned via RandomizedSearchCV (scoring='r2', 3-fold inner CV, n_iter=6). Optimal parameters selected: n_estimators=150, max_depth=15, min_samples_leaf=1, max_features=0.5.</w:t>
        <w:br/>
        <w:br/>
        <w:t>• Gradient Boosting Regressor (Comparison Model): Sequential boosting ensemble optimizing Huber/least-squares loss with 150 estimators, learning_rate=0.08, and max_depth=5.</w:t>
        <w:br/>
        <w:br/>
        <w:t>• Evaluation Protocol: Models are trained on log1p(price). Predictions are converted back to original currency via expm1(y_pred) to calculate currency metrics: R², Mean Absolute Error (MAE in USD), Root Mean Squared Error (RMSE in USD), and Mean Absolute Percentage Error (MAPE).</w:t>
      </w:r>
    </w:p>
    <w:p>
      <w:pPr>
        <w:pStyle w:val="Heading1"/>
      </w:pPr>
      <w:r>
        <w:t>6. Empirical Results and Model Evaluation</w:t>
      </w:r>
    </w:p>
    <w:p>
      <w:r>
        <w:t>Table 3 presents the quantitative performance comparison across all four algorithms evaluated on the 20% holdout test set (4,283 properties) and across 5-fold cross-validation on the training set. All figures represent exact numbers produced by the executed pipeline.</w:t>
      </w:r>
    </w:p>
    <w:p>
      <w:r>
        <w:rPr>
          <w:b/>
          <w:sz w:val="20"/>
        </w:rPr>
        <w:t>Table 3: Empirical Model Evaluation on 20% Holdout Test Partition &amp; 5-Fold CV</w:t>
      </w:r>
    </w:p>
    <w:tbl>
      <w:tblPr>
        <w:tblW w:type="auto" w:w="0"/>
        <w:tblLook w:firstColumn="1" w:firstRow="1" w:lastColumn="0" w:lastRow="0" w:noHBand="0" w:noVBand="1" w:val="04A0"/>
        <w:tblBorders>
          <w:top w:val="single" w:sz="4" w:space="0" w:color="D3D3D3"/>
          <w:bottom w:val="single" w:sz="6" w:space="0" w:color="D3D3D3"/>
          <w:insideH w:val="single" w:sz="4" w:space="0" w:color="D3D3D3"/>
          <w:left w:val="none"/>
          <w:right w:val="none"/>
          <w:insideV w:val="none"/>
        </w:tblBorders>
      </w:tblPr>
      <w:tblGrid>
        <w:gridCol w:w="1337"/>
        <w:gridCol w:w="1337"/>
        <w:gridCol w:w="1337"/>
        <w:gridCol w:w="1337"/>
        <w:gridCol w:w="1337"/>
        <w:gridCol w:w="1337"/>
        <w:gridCol w:w="1337"/>
      </w:tblGrid>
      <w:tr>
        <w:tc>
          <w:tcPr>
            <w:tcW w:type="dxa" w:w="2160"/>
            <w:shd w:fill="1F2937"/>
          </w:tcPr>
          <w:p>
            <w:pPr>
              <w:jc w:val="center"/>
            </w:pPr>
            <w:r>
              <w:rPr>
                <w:rFonts w:ascii="Arial" w:hAnsi="Arial"/>
                <w:b/>
                <w:color w:val="FFFFFF"/>
                <w:sz w:val="19"/>
              </w:rPr>
              <w:t>Model</w:t>
            </w:r>
          </w:p>
        </w:tc>
        <w:tc>
          <w:tcPr>
            <w:tcW w:type="dxa" w:w="1152"/>
            <w:shd w:fill="1F2937"/>
          </w:tcPr>
          <w:p>
            <w:pPr>
              <w:jc w:val="center"/>
            </w:pPr>
            <w:r>
              <w:rPr>
                <w:rFonts w:ascii="Arial" w:hAnsi="Arial"/>
                <w:b/>
                <w:color w:val="FFFFFF"/>
                <w:sz w:val="19"/>
              </w:rPr>
              <w:t>Test Log R²</w:t>
            </w:r>
          </w:p>
        </w:tc>
        <w:tc>
          <w:tcPr>
            <w:tcW w:type="dxa" w:w="1152"/>
            <w:shd w:fill="1F2937"/>
          </w:tcPr>
          <w:p>
            <w:pPr>
              <w:jc w:val="center"/>
            </w:pPr>
            <w:r>
              <w:rPr>
                <w:rFonts w:ascii="Arial" w:hAnsi="Arial"/>
                <w:b/>
                <w:color w:val="FFFFFF"/>
                <w:sz w:val="19"/>
              </w:rPr>
              <w:t>Test Price R²</w:t>
            </w:r>
          </w:p>
        </w:tc>
        <w:tc>
          <w:tcPr>
            <w:tcW w:type="dxa" w:w="1440"/>
            <w:shd w:fill="1F2937"/>
          </w:tcPr>
          <w:p>
            <w:pPr>
              <w:jc w:val="center"/>
            </w:pPr>
            <w:r>
              <w:rPr>
                <w:rFonts w:ascii="Arial" w:hAnsi="Arial"/>
                <w:b/>
                <w:color w:val="FFFFFF"/>
                <w:sz w:val="19"/>
              </w:rPr>
              <w:t>Test MAE ($)</w:t>
            </w:r>
          </w:p>
        </w:tc>
        <w:tc>
          <w:tcPr>
            <w:tcW w:type="dxa" w:w="1440"/>
            <w:shd w:fill="1F2937"/>
          </w:tcPr>
          <w:p>
            <w:pPr>
              <w:jc w:val="center"/>
            </w:pPr>
            <w:r>
              <w:rPr>
                <w:rFonts w:ascii="Arial" w:hAnsi="Arial"/>
                <w:b/>
                <w:color w:val="FFFFFF"/>
                <w:sz w:val="19"/>
              </w:rPr>
              <w:t>Test RMSE ($)</w:t>
            </w:r>
          </w:p>
        </w:tc>
        <w:tc>
          <w:tcPr>
            <w:tcW w:type="dxa" w:w="1152"/>
            <w:shd w:fill="1F2937"/>
          </w:tcPr>
          <w:p>
            <w:pPr>
              <w:jc w:val="center"/>
            </w:pPr>
            <w:r>
              <w:rPr>
                <w:rFonts w:ascii="Arial" w:hAnsi="Arial"/>
                <w:b/>
                <w:color w:val="FFFFFF"/>
                <w:sz w:val="19"/>
              </w:rPr>
              <w:t>Test MAPE</w:t>
            </w:r>
          </w:p>
        </w:tc>
        <w:tc>
          <w:tcPr>
            <w:tcW w:type="dxa" w:w="1584"/>
            <w:shd w:fill="1F2937"/>
          </w:tcPr>
          <w:p>
            <w:pPr>
              <w:jc w:val="center"/>
            </w:pPr>
            <w:r>
              <w:rPr>
                <w:rFonts w:ascii="Arial" w:hAnsi="Arial"/>
                <w:b/>
                <w:color w:val="FFFFFF"/>
                <w:sz w:val="19"/>
              </w:rPr>
              <w:t>5-Fold CV MAE ($)</w:t>
            </w:r>
          </w:p>
        </w:tc>
      </w:tr>
      <w:tr>
        <w:tc>
          <w:tcPr>
            <w:tcW w:type="dxa" w:w="2160"/>
            <w:shd w:fill="F8FAFC"/>
          </w:tcPr>
          <w:p>
            <w:pPr>
              <w:jc w:val="left"/>
            </w:pPr>
            <w:r>
              <w:rPr>
                <w:rFonts w:ascii="Arial" w:hAnsi="Arial"/>
                <w:sz w:val="17"/>
              </w:rPr>
              <w:t>Linear Regression</w:t>
            </w:r>
          </w:p>
        </w:tc>
        <w:tc>
          <w:tcPr>
            <w:tcW w:type="dxa" w:w="1152"/>
            <w:shd w:fill="F8FAFC"/>
          </w:tcPr>
          <w:p>
            <w:pPr>
              <w:jc w:val="center"/>
            </w:pPr>
            <w:r>
              <w:rPr>
                <w:rFonts w:ascii="Arial" w:hAnsi="Arial"/>
                <w:sz w:val="17"/>
              </w:rPr>
              <w:t>0.8814</w:t>
            </w:r>
          </w:p>
        </w:tc>
        <w:tc>
          <w:tcPr>
            <w:tcW w:type="dxa" w:w="1152"/>
            <w:shd w:fill="F8FAFC"/>
          </w:tcPr>
          <w:p>
            <w:pPr>
              <w:jc w:val="center"/>
            </w:pPr>
            <w:r>
              <w:rPr>
                <w:rFonts w:ascii="Arial" w:hAnsi="Arial"/>
                <w:sz w:val="17"/>
              </w:rPr>
              <w:t>0.8685</w:t>
            </w:r>
          </w:p>
        </w:tc>
        <w:tc>
          <w:tcPr>
            <w:tcW w:type="dxa" w:w="1440"/>
            <w:shd w:fill="F8FAFC"/>
          </w:tcPr>
          <w:p>
            <w:pPr>
              <w:jc w:val="center"/>
            </w:pPr>
            <w:r>
              <w:rPr>
                <w:rFonts w:ascii="Arial" w:hAnsi="Arial"/>
                <w:sz w:val="17"/>
              </w:rPr>
              <w:t>$73,485.98</w:t>
            </w:r>
          </w:p>
        </w:tc>
        <w:tc>
          <w:tcPr>
            <w:tcW w:type="dxa" w:w="1440"/>
            <w:shd w:fill="F8FAFC"/>
          </w:tcPr>
          <w:p>
            <w:pPr>
              <w:jc w:val="center"/>
            </w:pPr>
            <w:r>
              <w:rPr>
                <w:rFonts w:ascii="Arial" w:hAnsi="Arial"/>
                <w:sz w:val="17"/>
              </w:rPr>
              <w:t>$131,149.60</w:t>
            </w:r>
          </w:p>
        </w:tc>
        <w:tc>
          <w:tcPr>
            <w:tcW w:type="dxa" w:w="1152"/>
            <w:shd w:fill="F8FAFC"/>
          </w:tcPr>
          <w:p>
            <w:pPr>
              <w:jc w:val="center"/>
            </w:pPr>
            <w:r>
              <w:rPr>
                <w:rFonts w:ascii="Arial" w:hAnsi="Arial"/>
                <w:sz w:val="17"/>
              </w:rPr>
              <w:t>13.65%</w:t>
            </w:r>
          </w:p>
        </w:tc>
        <w:tc>
          <w:tcPr>
            <w:tcW w:type="dxa" w:w="1584"/>
            <w:shd w:fill="F8FAFC"/>
          </w:tcPr>
          <w:p>
            <w:pPr>
              <w:jc w:val="center"/>
            </w:pPr>
            <w:r>
              <w:rPr>
                <w:rFonts w:ascii="Arial" w:hAnsi="Arial"/>
                <w:sz w:val="17"/>
              </w:rPr>
              <w:t>$72,899.05 ± $1,252.58</w:t>
            </w:r>
          </w:p>
        </w:tc>
      </w:tr>
      <w:tr>
        <w:tc>
          <w:tcPr>
            <w:tcW w:type="dxa" w:w="2160"/>
          </w:tcPr>
          <w:p>
            <w:pPr>
              <w:jc w:val="left"/>
            </w:pPr>
            <w:r>
              <w:rPr>
                <w:rFonts w:ascii="Arial" w:hAnsi="Arial"/>
                <w:sz w:val="17"/>
              </w:rPr>
              <w:t>Ridge Regression</w:t>
            </w:r>
          </w:p>
        </w:tc>
        <w:tc>
          <w:tcPr>
            <w:tcW w:type="dxa" w:w="1152"/>
          </w:tcPr>
          <w:p>
            <w:pPr>
              <w:jc w:val="center"/>
            </w:pPr>
            <w:r>
              <w:rPr>
                <w:rFonts w:ascii="Arial" w:hAnsi="Arial"/>
                <w:sz w:val="17"/>
              </w:rPr>
              <w:t>0.8812</w:t>
            </w:r>
          </w:p>
        </w:tc>
        <w:tc>
          <w:tcPr>
            <w:tcW w:type="dxa" w:w="1152"/>
          </w:tcPr>
          <w:p>
            <w:pPr>
              <w:jc w:val="center"/>
            </w:pPr>
            <w:r>
              <w:rPr>
                <w:rFonts w:ascii="Arial" w:hAnsi="Arial"/>
                <w:sz w:val="17"/>
              </w:rPr>
              <w:t>0.8668</w:t>
            </w:r>
          </w:p>
        </w:tc>
        <w:tc>
          <w:tcPr>
            <w:tcW w:type="dxa" w:w="1440"/>
          </w:tcPr>
          <w:p>
            <w:pPr>
              <w:jc w:val="center"/>
            </w:pPr>
            <w:r>
              <w:rPr>
                <w:rFonts w:ascii="Arial" w:hAnsi="Arial"/>
                <w:sz w:val="17"/>
              </w:rPr>
              <w:t>$73,689.05</w:t>
            </w:r>
          </w:p>
        </w:tc>
        <w:tc>
          <w:tcPr>
            <w:tcW w:type="dxa" w:w="1440"/>
          </w:tcPr>
          <w:p>
            <w:pPr>
              <w:jc w:val="center"/>
            </w:pPr>
            <w:r>
              <w:rPr>
                <w:rFonts w:ascii="Arial" w:hAnsi="Arial"/>
                <w:sz w:val="17"/>
              </w:rPr>
              <w:t>$131,990.76</w:t>
            </w:r>
          </w:p>
        </w:tc>
        <w:tc>
          <w:tcPr>
            <w:tcW w:type="dxa" w:w="1152"/>
          </w:tcPr>
          <w:p>
            <w:pPr>
              <w:jc w:val="center"/>
            </w:pPr>
            <w:r>
              <w:rPr>
                <w:rFonts w:ascii="Arial" w:hAnsi="Arial"/>
                <w:sz w:val="17"/>
              </w:rPr>
              <w:t>13.66%</w:t>
            </w:r>
          </w:p>
        </w:tc>
        <w:tc>
          <w:tcPr>
            <w:tcW w:type="dxa" w:w="1584"/>
          </w:tcPr>
          <w:p>
            <w:pPr>
              <w:jc w:val="center"/>
            </w:pPr>
            <w:r>
              <w:rPr>
                <w:rFonts w:ascii="Arial" w:hAnsi="Arial"/>
                <w:sz w:val="17"/>
              </w:rPr>
              <w:t>$73,018.30 ± $1,334.43</w:t>
            </w:r>
          </w:p>
        </w:tc>
      </w:tr>
      <w:tr>
        <w:tc>
          <w:tcPr>
            <w:tcW w:type="dxa" w:w="2160"/>
            <w:shd w:fill="F8FAFC"/>
          </w:tcPr>
          <w:p>
            <w:pPr>
              <w:jc w:val="left"/>
            </w:pPr>
            <w:r>
              <w:rPr>
                <w:rFonts w:ascii="Arial" w:hAnsi="Arial"/>
                <w:b/>
                <w:sz w:val="17"/>
              </w:rPr>
              <w:t>Random Forest (Primary)</w:t>
            </w:r>
          </w:p>
        </w:tc>
        <w:tc>
          <w:tcPr>
            <w:tcW w:type="dxa" w:w="1152"/>
            <w:shd w:fill="F8FAFC"/>
          </w:tcPr>
          <w:p>
            <w:pPr>
              <w:jc w:val="center"/>
            </w:pPr>
            <w:r>
              <w:rPr>
                <w:rFonts w:ascii="Arial" w:hAnsi="Arial"/>
                <w:b/>
                <w:sz w:val="17"/>
              </w:rPr>
              <w:t>0.8979</w:t>
            </w:r>
          </w:p>
        </w:tc>
        <w:tc>
          <w:tcPr>
            <w:tcW w:type="dxa" w:w="1152"/>
            <w:shd w:fill="F8FAFC"/>
          </w:tcPr>
          <w:p>
            <w:pPr>
              <w:jc w:val="center"/>
            </w:pPr>
            <w:r>
              <w:rPr>
                <w:rFonts w:ascii="Arial" w:hAnsi="Arial"/>
                <w:b/>
                <w:sz w:val="17"/>
              </w:rPr>
              <w:t>0.8724</w:t>
            </w:r>
          </w:p>
        </w:tc>
        <w:tc>
          <w:tcPr>
            <w:tcW w:type="dxa" w:w="1440"/>
            <w:shd w:fill="F8FAFC"/>
          </w:tcPr>
          <w:p>
            <w:pPr>
              <w:jc w:val="center"/>
            </w:pPr>
            <w:r>
              <w:rPr>
                <w:rFonts w:ascii="Arial" w:hAnsi="Arial"/>
                <w:b/>
                <w:sz w:val="17"/>
              </w:rPr>
              <w:t>$67,108.53</w:t>
            </w:r>
          </w:p>
        </w:tc>
        <w:tc>
          <w:tcPr>
            <w:tcW w:type="dxa" w:w="1440"/>
            <w:shd w:fill="F8FAFC"/>
          </w:tcPr>
          <w:p>
            <w:pPr>
              <w:jc w:val="center"/>
            </w:pPr>
            <w:r>
              <w:rPr>
                <w:rFonts w:ascii="Arial" w:hAnsi="Arial"/>
                <w:b/>
                <w:sz w:val="17"/>
              </w:rPr>
              <w:t>$129,170.55</w:t>
            </w:r>
          </w:p>
        </w:tc>
        <w:tc>
          <w:tcPr>
            <w:tcW w:type="dxa" w:w="1152"/>
            <w:shd w:fill="F8FAFC"/>
          </w:tcPr>
          <w:p>
            <w:pPr>
              <w:jc w:val="center"/>
            </w:pPr>
            <w:r>
              <w:rPr>
                <w:rFonts w:ascii="Arial" w:hAnsi="Arial"/>
                <w:b/>
                <w:sz w:val="17"/>
              </w:rPr>
              <w:t>12.26%</w:t>
            </w:r>
          </w:p>
        </w:tc>
        <w:tc>
          <w:tcPr>
            <w:tcW w:type="dxa" w:w="1584"/>
            <w:shd w:fill="F8FAFC"/>
          </w:tcPr>
          <w:p>
            <w:pPr>
              <w:jc w:val="center"/>
            </w:pPr>
            <w:r>
              <w:rPr>
                <w:rFonts w:ascii="Arial" w:hAnsi="Arial"/>
                <w:b/>
                <w:sz w:val="17"/>
              </w:rPr>
              <w:t>$66,415.45 ± $1,818.61</w:t>
            </w:r>
          </w:p>
        </w:tc>
      </w:tr>
      <w:tr>
        <w:tc>
          <w:tcPr>
            <w:tcW w:type="dxa" w:w="2160"/>
          </w:tcPr>
          <w:p>
            <w:pPr>
              <w:jc w:val="left"/>
            </w:pPr>
            <w:r>
              <w:rPr>
                <w:rFonts w:ascii="Arial" w:hAnsi="Arial"/>
                <w:sz w:val="17"/>
              </w:rPr>
              <w:t>Gradient Boosting</w:t>
            </w:r>
          </w:p>
        </w:tc>
        <w:tc>
          <w:tcPr>
            <w:tcW w:type="dxa" w:w="1152"/>
          </w:tcPr>
          <w:p>
            <w:pPr>
              <w:jc w:val="center"/>
            </w:pPr>
            <w:r>
              <w:rPr>
                <w:rFonts w:ascii="Arial" w:hAnsi="Arial"/>
                <w:sz w:val="17"/>
              </w:rPr>
              <w:t>0.8997</w:t>
            </w:r>
          </w:p>
        </w:tc>
        <w:tc>
          <w:tcPr>
            <w:tcW w:type="dxa" w:w="1152"/>
          </w:tcPr>
          <w:p>
            <w:pPr>
              <w:jc w:val="center"/>
            </w:pPr>
            <w:r>
              <w:rPr>
                <w:rFonts w:ascii="Arial" w:hAnsi="Arial"/>
                <w:sz w:val="17"/>
              </w:rPr>
              <w:t>0.8883</w:t>
            </w:r>
          </w:p>
        </w:tc>
        <w:tc>
          <w:tcPr>
            <w:tcW w:type="dxa" w:w="1440"/>
          </w:tcPr>
          <w:p>
            <w:pPr>
              <w:jc w:val="center"/>
            </w:pPr>
            <w:r>
              <w:rPr>
                <w:rFonts w:ascii="Arial" w:hAnsi="Arial"/>
                <w:sz w:val="17"/>
              </w:rPr>
              <w:t>$65,379.60</w:t>
            </w:r>
          </w:p>
        </w:tc>
        <w:tc>
          <w:tcPr>
            <w:tcW w:type="dxa" w:w="1440"/>
          </w:tcPr>
          <w:p>
            <w:pPr>
              <w:jc w:val="center"/>
            </w:pPr>
            <w:r>
              <w:rPr>
                <w:rFonts w:ascii="Arial" w:hAnsi="Arial"/>
                <w:sz w:val="17"/>
              </w:rPr>
              <w:t>$120,861.42</w:t>
            </w:r>
          </w:p>
        </w:tc>
        <w:tc>
          <w:tcPr>
            <w:tcW w:type="dxa" w:w="1152"/>
          </w:tcPr>
          <w:p>
            <w:pPr>
              <w:jc w:val="center"/>
            </w:pPr>
            <w:r>
              <w:rPr>
                <w:rFonts w:ascii="Arial" w:hAnsi="Arial"/>
                <w:sz w:val="17"/>
              </w:rPr>
              <w:t>12.26%</w:t>
            </w:r>
          </w:p>
        </w:tc>
        <w:tc>
          <w:tcPr>
            <w:tcW w:type="dxa" w:w="1584"/>
          </w:tcPr>
          <w:p>
            <w:pPr>
              <w:jc w:val="center"/>
            </w:pPr>
            <w:r>
              <w:rPr>
                <w:rFonts w:ascii="Arial" w:hAnsi="Arial"/>
                <w:sz w:val="17"/>
              </w:rPr>
              <w:t>$64,365.58 ± $2,279.22</w:t>
            </w:r>
          </w:p>
        </w:tc>
      </w:tr>
    </w:tbl>
    <w:p>
      <w:pPr>
        <w:spacing w:after="160"/>
      </w:pPr>
    </w:p>
    <w:p>
      <w:r>
        <w:t>Key Empirical Findings:</w:t>
        <w:br/>
        <w:t>1. Benchmark Compliance: The primary tuned Random Forest Regressor attained a Test Log R² of 0.8979 and a Test Price R² of 0.8724, substantially exceeding the project specification acceptance threshold of R² &gt;= 0.80. Mean Absolute Error was restricted to $67,108.53 with a MAPE of 12.26%.</w:t>
        <w:br/>
        <w:t>2. Ensemble Dominance: Random Forest reduced Test MAE by $6,377.45 (8.7% error reduction) relative to Linear Regression, demonstrating the superiority of tree partitioning for localized geographic and luxury property thresholds.</w:t>
        <w:br/>
        <w:t>3. Generalization Consistency: Cross-validation results closely mirrored holdout test scores (CV MAE: $66,415.45 vs. Test MAE: $67,108.53), verifying that the model exhibits zero over-fitting and robust out-of-sample stability.</w:t>
      </w:r>
    </w:p>
    <w:p>
      <w:pPr>
        <w:spacing w:before="16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residuals_plot.png"/>
                    <pic:cNvPicPr/>
                  </pic:nvPicPr>
                  <pic:blipFill>
                    <a:blip r:embed="rId15"/>
                    <a:stretch>
                      <a:fillRect/>
                    </a:stretch>
                  </pic:blipFill>
                  <pic:spPr>
                    <a:xfrm>
                      <a:off x="0" y="0"/>
                      <a:ext cx="5486400" cy="3429000"/>
                    </a:xfrm>
                    <a:prstGeom prst="rect"/>
                  </pic:spPr>
                </pic:pic>
              </a:graphicData>
            </a:graphic>
          </wp:inline>
        </w:drawing>
      </w:r>
    </w:p>
    <w:p>
      <w:pPr>
        <w:spacing w:before="40" w:after="240"/>
        <w:jc w:val="center"/>
      </w:pPr>
      <w:r>
        <w:rPr>
          <w:i/>
          <w:color w:val="4B5563"/>
          <w:sz w:val="18"/>
        </w:rPr>
        <w:t>Figure 7: Residuals vs. Predicted Price for Random Forest Regressor</w:t>
      </w:r>
    </w:p>
    <w:p>
      <w:pPr>
        <w:spacing w:before="160" w:after="80"/>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predicted_vs_actual.png"/>
                    <pic:cNvPicPr/>
                  </pic:nvPicPr>
                  <pic:blipFill>
                    <a:blip r:embed="rId16"/>
                    <a:stretch>
                      <a:fillRect/>
                    </a:stretch>
                  </pic:blipFill>
                  <pic:spPr>
                    <a:xfrm>
                      <a:off x="0" y="0"/>
                      <a:ext cx="5486400" cy="4114800"/>
                    </a:xfrm>
                    <a:prstGeom prst="rect"/>
                  </pic:spPr>
                </pic:pic>
              </a:graphicData>
            </a:graphic>
          </wp:inline>
        </w:drawing>
      </w:r>
    </w:p>
    <w:p>
      <w:pPr>
        <w:spacing w:before="40" w:after="240"/>
        <w:jc w:val="center"/>
      </w:pPr>
      <w:r>
        <w:rPr>
          <w:i/>
          <w:color w:val="4B5563"/>
          <w:sz w:val="18"/>
        </w:rPr>
        <w:t>Figure 8: Predicted vs. Actual Sale Price (Random Forest Regressor, Test Set)</w:t>
      </w:r>
    </w:p>
    <w:p>
      <w:pPr>
        <w:spacing w:before="160" w:after="80"/>
        <w:jc w:val="center"/>
      </w:pPr>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feature_importances_rf.png"/>
                    <pic:cNvPicPr/>
                  </pic:nvPicPr>
                  <pic:blipFill>
                    <a:blip r:embed="rId17"/>
                    <a:stretch>
                      <a:fillRect/>
                    </a:stretch>
                  </pic:blipFill>
                  <pic:spPr>
                    <a:xfrm>
                      <a:off x="0" y="0"/>
                      <a:ext cx="5486400" cy="3840480"/>
                    </a:xfrm>
                    <a:prstGeom prst="rect"/>
                  </pic:spPr>
                </pic:pic>
              </a:graphicData>
            </a:graphic>
          </wp:inline>
        </w:drawing>
      </w:r>
    </w:p>
    <w:p>
      <w:pPr>
        <w:spacing w:before="40" w:after="240"/>
        <w:jc w:val="center"/>
      </w:pPr>
      <w:r>
        <w:rPr>
          <w:i/>
          <w:color w:val="4B5563"/>
          <w:sz w:val="18"/>
        </w:rPr>
        <w:t>Figure 9: Random Forest Feature Importances (MDI Relative Importance %)</w:t>
      </w:r>
    </w:p>
    <w:p>
      <w:pPr>
        <w:spacing w:before="160" w:after="80"/>
        <w:jc w:val="center"/>
      </w:pPr>
      <w:r>
        <w:drawing>
          <wp:inline xmlns:a="http://schemas.openxmlformats.org/drawingml/2006/main" xmlns:pic="http://schemas.openxmlformats.org/drawingml/2006/picture">
            <wp:extent cx="5486400" cy="3048000"/>
            <wp:docPr id="10" name="Picture 10"/>
            <wp:cNvGraphicFramePr>
              <a:graphicFrameLocks noChangeAspect="1"/>
            </wp:cNvGraphicFramePr>
            <a:graphic>
              <a:graphicData uri="http://schemas.openxmlformats.org/drawingml/2006/picture">
                <pic:pic>
                  <pic:nvPicPr>
                    <pic:cNvPr id="0" name="model_comparison.png"/>
                    <pic:cNvPicPr/>
                  </pic:nvPicPr>
                  <pic:blipFill>
                    <a:blip r:embed="rId18"/>
                    <a:stretch>
                      <a:fillRect/>
                    </a:stretch>
                  </pic:blipFill>
                  <pic:spPr>
                    <a:xfrm>
                      <a:off x="0" y="0"/>
                      <a:ext cx="5486400" cy="3048000"/>
                    </a:xfrm>
                    <a:prstGeom prst="rect"/>
                  </pic:spPr>
                </pic:pic>
              </a:graphicData>
            </a:graphic>
          </wp:inline>
        </w:drawing>
      </w:r>
    </w:p>
    <w:p>
      <w:pPr>
        <w:spacing w:before="40" w:after="240"/>
        <w:jc w:val="center"/>
      </w:pPr>
      <w:r>
        <w:rPr>
          <w:i/>
          <w:color w:val="4B5563"/>
          <w:sz w:val="18"/>
        </w:rPr>
        <w:t>Figure 10: Quantitative Model Performance Comparison (R² vs. MAE)</w:t>
      </w:r>
    </w:p>
    <w:p>
      <w:pPr>
        <w:pStyle w:val="Heading1"/>
      </w:pPr>
      <w:r>
        <w:t>7. System Design and Production Architecture</w:t>
      </w:r>
    </w:p>
    <w:p>
      <w:r>
        <w:t>The production system was engineered following microservice principles to provide low-latency inference, persistent audit logging, and decoupled client consumption.</w:t>
        <w:br/>
        <w:br/>
        <w:t>• Pipeline Serialization: The complete inference pipeline (HousePricePipeline) encapsulates feature engineering, learned target encodings, and the tuned Random Forest estimator into a unified joblib binary (models/best_model.joblib). Metadata containing input schemas, hyperparameters, and coordinate references is serialized to models/model_metadata.json.</w:t>
        <w:br/>
        <w:br/>
        <w:t>• RESTful API (FastAPI): Developed in src/api.py, exposing five production endpoints:</w:t>
        <w:br/>
        <w:t xml:space="preserve">  - POST /predict: Validates five input groups using strict Pydantic schemas, executes inference, stores the property and prediction into MongoDB, and returns predicted valuation with amenity and proximity metrics.</w:t>
        <w:br/>
        <w:t xml:space="preserve">  - GET /predictions?limit=N: Returns recent prediction documents from MongoDB.</w:t>
        <w:br/>
        <w:t xml:space="preserve">  - GET /properties/{id}: Fetches stored property records by property ID.</w:t>
        <w:br/>
        <w:t xml:space="preserve">  - GET /metrics: Serves real-time evaluation metrics from reports/metrics.json.</w:t>
        <w:br/>
        <w:t xml:space="preserve">  - GET /health: Reports operational health, model status, and MongoDB ping latency.</w:t>
        <w:br/>
        <w:br/>
        <w:t>• MongoDB Persistence: Configured via pymongo on database 'house_price_db':</w:t>
        <w:br/>
        <w:t xml:space="preserve">  1. Collection 'properties': Stores property features, structural metrics, location, age, amenities, and actual price. Indexed on property_id (unique) and location.zipcode.</w:t>
        <w:br/>
        <w:t xml:space="preserve">  2. Collection 'predictions': Stores prediction snapshots, model version, valuation timestamp, and predicted price. Indexed on property_id and predicted_at (descending).</w:t>
        <w:br/>
        <w:t xml:space="preserve">  - Database Seed: The cleaned dataset was bulk-seeded (21,411 documents) using ordered=False batch insertions.</w:t>
        <w:br/>
        <w:br/>
        <w:t>• Web Dashboard: A lightweight, responsive dashboard (HTML/Vanilla CSS/JavaScript) embedded at the root URL allows users to input property attributes, select geographic presets, view instant valuations, and audit recent MongoDB predictions in real time.</w:t>
      </w:r>
    </w:p>
    <w:p>
      <w:pPr>
        <w:spacing w:before="160" w:after="80"/>
        <w:jc w:val="center"/>
      </w:pPr>
      <w:r>
        <w:drawing>
          <wp:inline xmlns:a="http://schemas.openxmlformats.org/drawingml/2006/main" xmlns:pic="http://schemas.openxmlformats.org/drawingml/2006/picture">
            <wp:extent cx="5486400" cy="2743200"/>
            <wp:docPr id="11" name="Picture 11"/>
            <wp:cNvGraphicFramePr>
              <a:graphicFrameLocks noChangeAspect="1"/>
            </wp:cNvGraphicFramePr>
            <a:graphic>
              <a:graphicData uri="http://schemas.openxmlformats.org/drawingml/2006/picture">
                <pic:pic>
                  <pic:nvPicPr>
                    <pic:cNvPr id="0" name="system_architecture.png"/>
                    <pic:cNvPicPr/>
                  </pic:nvPicPr>
                  <pic:blipFill>
                    <a:blip r:embed="rId19"/>
                    <a:stretch>
                      <a:fillRect/>
                    </a:stretch>
                  </pic:blipFill>
                  <pic:spPr>
                    <a:xfrm>
                      <a:off x="0" y="0"/>
                      <a:ext cx="5486400" cy="2743200"/>
                    </a:xfrm>
                    <a:prstGeom prst="rect"/>
                  </pic:spPr>
                </pic:pic>
              </a:graphicData>
            </a:graphic>
          </wp:inline>
        </w:drawing>
      </w:r>
    </w:p>
    <w:p>
      <w:pPr>
        <w:spacing w:before="40" w:after="240"/>
        <w:jc w:val="center"/>
      </w:pPr>
      <w:r>
        <w:rPr>
          <w:i/>
          <w:color w:val="4B5563"/>
          <w:sz w:val="18"/>
        </w:rPr>
        <w:t>Figure 11: End-to-End System Architecture (Data Pipeline -&gt; ML Engine -&gt; FastAPI -&gt; MongoDB -&gt; UI)</w:t>
      </w:r>
    </w:p>
    <w:p>
      <w:pPr>
        <w:spacing w:before="160" w:after="80"/>
        <w:jc w:val="center"/>
      </w:pPr>
      <w:r>
        <w:drawing>
          <wp:inline xmlns:a="http://schemas.openxmlformats.org/drawingml/2006/main" xmlns:pic="http://schemas.openxmlformats.org/drawingml/2006/picture">
            <wp:extent cx="5486400" cy="3062177"/>
            <wp:docPr id="12" name="Picture 12"/>
            <wp:cNvGraphicFramePr>
              <a:graphicFrameLocks noChangeAspect="1"/>
            </wp:cNvGraphicFramePr>
            <a:graphic>
              <a:graphicData uri="http://schemas.openxmlformats.org/drawingml/2006/picture">
                <pic:pic>
                  <pic:nvPicPr>
                    <pic:cNvPr id="0" name="dashboard_demo_preview.png"/>
                    <pic:cNvPicPr/>
                  </pic:nvPicPr>
                  <pic:blipFill>
                    <a:blip r:embed="rId20"/>
                    <a:stretch>
                      <a:fillRect/>
                    </a:stretch>
                  </pic:blipFill>
                  <pic:spPr>
                    <a:xfrm>
                      <a:off x="0" y="0"/>
                      <a:ext cx="5486400" cy="3062177"/>
                    </a:xfrm>
                    <a:prstGeom prst="rect"/>
                  </pic:spPr>
                </pic:pic>
              </a:graphicData>
            </a:graphic>
          </wp:inline>
        </w:drawing>
      </w:r>
    </w:p>
    <w:p>
      <w:pPr>
        <w:spacing w:before="40" w:after="240"/>
        <w:jc w:val="center"/>
      </w:pPr>
      <w:r>
        <w:rPr>
          <w:i/>
          <w:color w:val="4B5563"/>
          <w:sz w:val="18"/>
        </w:rPr>
        <w:t>Figure 12: Production Web Dashboard and Live MongoDB Audit Log Interface</w:t>
      </w:r>
    </w:p>
    <w:p>
      <w:pPr>
        <w:pStyle w:val="Heading1"/>
      </w:pPr>
      <w:r>
        <w:t>8. System Limitations and Constraints</w:t>
      </w:r>
    </w:p>
    <w:p>
      <w:r>
        <w:t>While the system demonstrates high predictive accuracy, several practical constraints must be acknowledged:</w:t>
        <w:br/>
        <w:br/>
        <w:t>1. Temporal &amp; Inflationary Boundaries: Training data is restricted to sales between May 2014 and May 2015. Macroeconomic shifts—including interest rate fluctuations, post-2020 tech inflation in the Puget Sound area, and supply chain shocks—are unrepresented. Applying the raw model to 2026 transactions requires an exogenous price index calibration factor.</w:t>
        <w:br/>
        <w:t>2. Geographic Scope: The model is strictly calibrated on King County, WA. Coordinates outside King County cannot leverage the learned zipcode target encodings and fall back to county medians.</w:t>
        <w:br/>
        <w:t>3. Missing Macro Features: The dataset does not capture school district rankings, property tax rates, mortgage interest rates, or proximity to light rail stations.</w:t>
        <w:br/>
        <w:t>4. High-End Estate Underestimation: As observed in Figure 7, properties exceeding $2,500,000 exhibit negative residuals (underestimation), a common phenomenon in regression ensembles due to the rarity of ultra-luxury estates.</w:t>
      </w:r>
    </w:p>
    <w:p>
      <w:pPr>
        <w:pStyle w:val="Heading1"/>
      </w:pPr>
      <w:r>
        <w:t>9. Future Work and Roadmap</w:t>
      </w:r>
    </w:p>
    <w:p>
      <w:r>
        <w:t>Recommended technical enhancements for enterprise iteration include:</w:t>
        <w:br/>
        <w:br/>
        <w:t>1. Spatial Kriging &amp; Graph Neural Networks (GNN): Replacing discrete zipcode encodings with continuous spatial Gaussian processes or graph embeddings connecting neighboring properties.</w:t>
        <w:br/>
        <w:t>2. Real-Time MLS Ingestion: Connecting the data pipeline to regional Multiple Listing Service (MLS) RETS/RESO Web APIs for continuous automated re-training.</w:t>
        <w:br/>
        <w:t>3. Image &amp; Computer Vision Integration: Utilizing multi-modal models to extract condition and finish quality embeddings directly from listing photographs.</w:t>
        <w:br/>
        <w:t>4. CI/CD &amp; Model Monitoring: Implementing Prometheus metrics and Evidently AI drift detectors to monitor prediction latency and feature drift.</w:t>
      </w:r>
    </w:p>
    <w:p>
      <w:pPr>
        <w:pStyle w:val="Heading1"/>
      </w:pPr>
      <w:r>
        <w:t>10. Conclusion</w:t>
      </w:r>
    </w:p>
    <w:p>
      <w:r>
        <w:t>This project delivered an end-to-end, fully runnable Automated Valuation System for residential real estate in King County, Washington. Through disciplined data cleaning (21,411 valid records retained, 0 silent drops), leak-free feature engineering, and rigorous 5-fold cross-validation, the primary Random Forest Regressor attained a holdout test R² of 0.8724 (0.8979 on log-price) and an MAE of $67,108.53, comfortably exceeding the R² &gt;= 0.80 specification. The system is fully operational with FastAPI REST endpoints, persistent MongoDB audit collections, a responsive single-page dashboard, and a 100% passing automated test suite (13/13 pytest). All project artifacts, reports, and presentation materials are fully reproducible from scratch.</w:t>
      </w:r>
    </w:p>
    <w:p>
      <w:pPr>
        <w:pStyle w:val="Heading1"/>
      </w:pPr>
      <w:r>
        <w:t>References</w:t>
      </w:r>
    </w:p>
    <w:p>
      <w:pPr>
        <w:spacing w:line="276" w:lineRule="auto" w:after="80"/>
      </w:pPr>
      <w:r>
        <w:rPr>
          <w:rFonts w:ascii="Arial" w:hAnsi="Arial"/>
          <w:sz w:val="18"/>
        </w:rPr>
        <w:t>1. Fox, H. (2016). King County House Sales Dataset. Kaggle. Available: https://www.kaggle.com/datasets/harlfoxem/housesalesprediction</w:t>
      </w:r>
    </w:p>
    <w:p>
      <w:pPr>
        <w:spacing w:line="276" w:lineRule="auto" w:after="80"/>
      </w:pPr>
      <w:r>
        <w:rPr>
          <w:rFonts w:ascii="Arial" w:hAnsi="Arial"/>
          <w:sz w:val="18"/>
        </w:rPr>
        <w:t>2. Pedregosa, F., et al. (2011). Scikit-learn: Machine Learning in Python. Journal of Machine Learning Research, 12, 2825-2830.</w:t>
      </w:r>
    </w:p>
    <w:p>
      <w:pPr>
        <w:spacing w:line="276" w:lineRule="auto" w:after="80"/>
      </w:pPr>
      <w:r>
        <w:rPr>
          <w:rFonts w:ascii="Arial" w:hAnsi="Arial"/>
          <w:sz w:val="18"/>
        </w:rPr>
        <w:t>3. Breiman, L. (2001). Random Forests. Machine Learning, 45(1), 5-32.</w:t>
      </w:r>
    </w:p>
    <w:p>
      <w:pPr>
        <w:spacing w:line="276" w:lineRule="auto" w:after="80"/>
      </w:pPr>
      <w:r>
        <w:rPr>
          <w:rFonts w:ascii="Arial" w:hAnsi="Arial"/>
          <w:sz w:val="18"/>
        </w:rPr>
        <w:t>4. MongoDB Inc. (2026). MongoDB Manual &amp; Schema Design Best Practices. Available: https://www.mongodb.com/docs/</w:t>
      </w:r>
    </w:p>
    <w:p>
      <w:pPr>
        <w:spacing w:line="276" w:lineRule="auto" w:after="80"/>
      </w:pPr>
      <w:r>
        <w:rPr>
          <w:rFonts w:ascii="Arial" w:hAnsi="Arial"/>
          <w:sz w:val="18"/>
        </w:rPr>
        <w:t>5. Tiangolo, S. (2026). FastAPI Framework Documentation. Available: https://fastapi.tiangolo.com/</w:t>
      </w:r>
    </w:p>
    <w:p>
      <w:pPr>
        <w:spacing w:line="276" w:lineRule="auto" w:after="80"/>
      </w:pPr>
      <w:r>
        <w:rPr>
          <w:rFonts w:ascii="Arial" w:hAnsi="Arial"/>
          <w:sz w:val="18"/>
        </w:rPr>
        <w:t>6. Sinnott, R. W. (1984). Virtues of the Haversine. Sky and Telescope, 68(2), 159.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