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Lab 1 — Requirements Table</w:t>
      </w:r>
    </w:p>
    <w:p>
      <w:r>
        <w:rPr>
          <w:b/>
          <w:bCs/>
          <w:sz w:val="22"/>
          <w:szCs w:val="22"/>
        </w:rPr>
        <w:t xml:space="preserve">Problem Statement #26 — Peer-to-Peer Carpooling &amp; Expense Splitter</w:t>
      </w:r>
    </w:p>
    <w:p>
      <w:pPr>
        <w:spacing w:after="200"/>
      </w:pPr>
      <w:r>
        <w:rPr>
          <w:i/>
          <w:iCs/>
          <w:sz w:val="20"/>
          <w:szCs w:val="20"/>
        </w:rPr>
        <w:t xml:space="preserve">Actors: Rider Commuter, Driver Host, Payment Gateway (external system)</w:t>
      </w: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1000"/>
        <w:gridCol w:w="3000"/>
        <w:gridCol w:w="700"/>
        <w:gridCol w:w="2600"/>
        <w:gridCol w:w="1700"/>
        <w:gridCol w:w="1350"/>
      </w:tblGrid>
      <w:tr>
        <w:trPr>
          <w:tblHeader/>
        </w:trPr>
        <w:tc>
          <w:tcPr>
            <w:tcW w:type="dxa" w:w="850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dxa" w:w="1000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000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00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600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700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1350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tcPr>
            <w:tcW w:type="dxa" w:w="85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FR-001 (given)</w:t>
            </w:r>
          </w:p>
        </w:tc>
        <w:tc>
          <w:tcPr>
            <w:tcW w:type="dxa" w:w="10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0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calculate route compatibility between driver and passenger commute paths, permitting matches only within a 1.5 km detour tolerance.</w:t>
            </w:r>
          </w:p>
        </w:tc>
        <w:tc>
          <w:tcPr>
            <w:tcW w:type="dxa" w:w="7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6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Route match confirmed and fuel cost split calculated. Fail: Detour exceeding tolerance accepted.</w:t>
            </w:r>
          </w:p>
        </w:tc>
        <w:tc>
          <w:tcPr>
            <w:tcW w:type="dxa" w:w="17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 matching logic; keeps the detour worthwhile for the driver.</w:t>
            </w:r>
          </w:p>
        </w:tc>
        <w:tc>
          <w:tcPr>
            <w:tcW w:type="dxa" w:w="135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5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FR-002</w:t>
            </w:r>
          </w:p>
        </w:tc>
        <w:tc>
          <w:tcPr>
            <w:tcW w:type="dxa" w:w="10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0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allow a Driver Host to create a trip listing specifying origin, destination, departure time, and number of available seats.</w:t>
            </w:r>
          </w:p>
        </w:tc>
        <w:tc>
          <w:tcPr>
            <w:tcW w:type="dxa" w:w="7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6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Trip appears in search results within 5 seconds of posting, with all details displayed correctly. Fail: Trip is missing details or is not searchable.</w:t>
            </w:r>
          </w:p>
        </w:tc>
        <w:tc>
          <w:tcPr>
            <w:tcW w:type="dxa" w:w="17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Supplies the inventory of rides the matching engine searches against.</w:t>
            </w:r>
          </w:p>
        </w:tc>
        <w:tc>
          <w:tcPr>
            <w:tcW w:type="dxa" w:w="135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5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FR-003</w:t>
            </w:r>
          </w:p>
        </w:tc>
        <w:tc>
          <w:tcPr>
            <w:tcW w:type="dxa" w:w="10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0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allow a Rider Commuter to search for available trips by entering origin, destination, and preferred travel time.</w:t>
            </w:r>
          </w:p>
        </w:tc>
        <w:tc>
          <w:tcPr>
            <w:tcW w:type="dxa" w:w="7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6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Search returns every trip within the 1.5 km detour tolerance and time window, sorted by best route match. Fail: Search omits a valid match or returns a trip outside tolerance.</w:t>
            </w:r>
          </w:p>
        </w:tc>
        <w:tc>
          <w:tcPr>
            <w:tcW w:type="dxa" w:w="17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 discovery function; riders cannot book what they cannot find.</w:t>
            </w:r>
          </w:p>
        </w:tc>
        <w:tc>
          <w:tcPr>
            <w:tcW w:type="dxa" w:w="135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5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FR-004</w:t>
            </w:r>
          </w:p>
        </w:tc>
        <w:tc>
          <w:tcPr>
            <w:tcW w:type="dxa" w:w="10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0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automatically calculate and display each passenger's fuel cost share, split proportionally by distance traveled, at the time a ride is booked.</w:t>
            </w:r>
          </w:p>
        </w:tc>
        <w:tc>
          <w:tcPr>
            <w:tcW w:type="dxa" w:w="7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6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Sum of all passengers' cost shares equals 100% of trip fuel cost, each within +/-1% based on distance ridden. Fail: Split total is incorrect or not shown before booking is confirmed.</w:t>
            </w:r>
          </w:p>
        </w:tc>
        <w:tc>
          <w:tcPr>
            <w:tcW w:type="dxa" w:w="17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Accurate, transparent splitting is the app's core value proposition and prevents payment disputes.</w:t>
            </w:r>
          </w:p>
        </w:tc>
        <w:tc>
          <w:tcPr>
            <w:tcW w:type="dxa" w:w="135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5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FR-005</w:t>
            </w:r>
          </w:p>
        </w:tc>
        <w:tc>
          <w:tcPr>
            <w:tcW w:type="dxa" w:w="10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0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allow both Rider Commuter and Driver Host to submit a 1-5 star rating and optional comment about each other within 48 hours of trip completion.</w:t>
            </w:r>
          </w:p>
        </w:tc>
        <w:tc>
          <w:tcPr>
            <w:tcW w:type="dxa" w:w="7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Rating prompt appears immediately once a trip is marked complete, and the rating saves to both profiles. Fail: Prompt does not appear or the rating fails to save.</w:t>
            </w:r>
          </w:p>
        </w:tc>
        <w:tc>
          <w:tcPr>
            <w:tcW w:type="dxa" w:w="17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Builds trust and accountability in a peer-to-peer marketplace.</w:t>
            </w:r>
          </w:p>
        </w:tc>
        <w:tc>
          <w:tcPr>
            <w:tcW w:type="dxa" w:w="135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50"/>
            <w:shd w:fill="FDE9E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NFR-001 (given)</w:t>
            </w:r>
          </w:p>
        </w:tc>
        <w:tc>
          <w:tcPr>
            <w:tcW w:type="dxa" w:w="1000"/>
            <w:shd w:fill="FDE9E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Nonfunctional</w:t>
            </w:r>
          </w:p>
        </w:tc>
        <w:tc>
          <w:tcPr>
            <w:tcW w:type="dxa" w:w="3000"/>
            <w:shd w:fill="FDE9E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 ratings, driving license verification documents, and travel histories must be stored securely with encrypted backups.</w:t>
            </w:r>
          </w:p>
        </w:tc>
        <w:tc>
          <w:tcPr>
            <w:tcW w:type="dxa" w:w="700"/>
            <w:shd w:fill="FDE9E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600"/>
            <w:shd w:fill="FDE9E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Benchmarking tests confirm target latency and security standards under simulated peak load. Fail: Sensitive data found unencrypted or backup fails standard.</w:t>
            </w:r>
          </w:p>
        </w:tc>
        <w:tc>
          <w:tcPr>
            <w:tcW w:type="dxa" w:w="1700"/>
            <w:shd w:fill="FDE9E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Protects personally identifiable and safety-critical data (license, location history).</w:t>
            </w:r>
          </w:p>
        </w:tc>
        <w:tc>
          <w:tcPr>
            <w:tcW w:type="dxa" w:w="1350"/>
            <w:shd w:fill="FDE9E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50"/>
            <w:shd w:fill="FDE9E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NFR-002</w:t>
            </w:r>
          </w:p>
        </w:tc>
        <w:tc>
          <w:tcPr>
            <w:tcW w:type="dxa" w:w="1000"/>
            <w:shd w:fill="FDE9E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Nonfunctional</w:t>
            </w:r>
          </w:p>
        </w:tc>
        <w:tc>
          <w:tcPr>
            <w:tcW w:type="dxa" w:w="3000"/>
            <w:shd w:fill="FDE9E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return route-matching search results within 3 seconds for a search radius of up to 50 km, for 95% of queries under normal load.</w:t>
            </w:r>
          </w:p>
        </w:tc>
        <w:tc>
          <w:tcPr>
            <w:tcW w:type="dxa" w:w="700"/>
            <w:shd w:fill="FDE9E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600"/>
            <w:shd w:fill="FDE9E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Load testing shows 95th-percentile response time &lt;= 3 seconds for 500 concurrent search requests. Fail: 95th-percentile response time exceeds 3 seconds.</w:t>
            </w:r>
          </w:p>
        </w:tc>
        <w:tc>
          <w:tcPr>
            <w:tcW w:type="dxa" w:w="1700"/>
            <w:shd w:fill="FDE9E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Fast search is essential to commuter experience, especially during rush-hour peak demand.</w:t>
            </w:r>
          </w:p>
        </w:tc>
        <w:tc>
          <w:tcPr>
            <w:tcW w:type="dxa" w:w="1350"/>
            <w:shd w:fill="FDE9E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before="200"/>
      </w:pPr>
    </w:p>
    <w:p>
      <w:r>
        <w:rPr>
          <w:i/>
          <w:iCs/>
          <w:sz w:val="18"/>
          <w:szCs w:val="18"/>
        </w:rPr>
        <w:t xml:space="preserve">Note: FR-001 and NFR-001 were given in the handout; FR-002-FR-005 and NFR-002 were authored for this exercise. Comments column is left blank for peer critique.</w:t>
      </w:r>
    </w:p>
    <w:sectPr>
      <w:pgSz w:w="12240" w:h="16840" w:orient="landscape"/>
      <w:pgMar w:top="720" w:right="620" w:bottom="7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2026-09-13T18:44:05.507Z</dcterms:created>
  <dcterms:modified xsi:type="dcterms:W3CDTF">2026-09-13T18:44:05.516Z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