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96"/>
          <w:sz-cs w:val="96"/>
        </w:rPr>
        <w:t xml:space="preserve">JSA</w:t>
      </w:r>
    </w:p>
    <w:p>
      <w:pPr>
        <w:jc w:val="center"/>
      </w:pPr>
      <w:r>
        <w:rPr>
          <w:rFonts w:ascii="Times" w:hAnsi="Times" w:cs="Times"/>
          <w:sz w:val="96"/>
          <w:sz-cs w:val="96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>JOB SAFETY ANALYSIS DOCUMENTS</w:t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>EARTH AND PLANETARY SCIENCE</w:t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>UC BERKELEY</w:t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>2018</w:t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>FOR</w:t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>MACHINE / WOOD SHOP IN RM 131, THIN SECTION LAB AND WHERE APPLICABLE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jc w:val="center"/>
      </w:pPr>
      <w:r>
        <w:rPr>
          <w:rFonts w:ascii="Times" w:hAnsi="Times" w:cs="Times"/>
          <w:sz w:val="40"/>
          <w:sz-cs w:val="40"/>
          <w:i/>
        </w:rPr>
        <w:t xml:space="preserve">Must be read and signed off by any operator of machines and tools listed herein.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UC Berkeley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 </cp:lastModifiedBy>
</cp:coreProperties>
</file>

<file path=docProps/meta.xml><?xml version="1.0" encoding="utf-8"?>
<meta xmlns="http://schemas.apple.com/cocoa/2006/metadata">
  <generator>CocoaOOXMLWriter/1504.83</generator>
</meta>
</file>