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23F47" w14:textId="7527D498" w:rsidR="00A265D0" w:rsidRPr="00A265D0" w:rsidRDefault="00A265D0" w:rsidP="00A265D0">
      <w:pPr>
        <w:pStyle w:val="Heading1"/>
        <w:numPr>
          <w:ilvl w:val="0"/>
          <w:numId w:val="2"/>
        </w:numPr>
      </w:pPr>
      <w:r w:rsidRPr="00A265D0">
        <w:t>High Risk AI System Proposal</w:t>
      </w:r>
    </w:p>
    <w:p w14:paraId="24F280EE" w14:textId="5158B61F" w:rsidR="00A265D0" w:rsidRPr="00A265D0" w:rsidRDefault="00A265D0" w:rsidP="00A265D0">
      <w:pPr>
        <w:pStyle w:val="Heading2"/>
      </w:pPr>
      <w:r w:rsidRPr="00A265D0">
        <w:t xml:space="preserve">Domain and </w:t>
      </w:r>
      <w:proofErr w:type="gramStart"/>
      <w:r w:rsidRPr="00A265D0">
        <w:t>High Risk</w:t>
      </w:r>
      <w:proofErr w:type="gramEnd"/>
      <w:r w:rsidRPr="00A265D0">
        <w:t xml:space="preserve"> Classification</w:t>
      </w:r>
    </w:p>
    <w:p w14:paraId="0648E0CA" w14:textId="77777777" w:rsidR="00A265D0" w:rsidRPr="00A265D0" w:rsidRDefault="00A265D0" w:rsidP="00A265D0">
      <w:r w:rsidRPr="00A265D0">
        <w:t>The proposed system is an AI enabled virtual reality cognitive assessment and early risk screening platform designed for use in primary education and early childhood development settings. Under Annex III of the EU AI Act, AI systems intended to be used for determining access to education or assessing learning outcomes are classified as high risk. This proposal falls within Annex III Section 3, which covers AI systems used in education and vocational training, particularly those that evaluate or influence educational pathways.</w:t>
      </w:r>
    </w:p>
    <w:p w14:paraId="34E44CF2" w14:textId="77777777" w:rsidR="00A265D0" w:rsidRPr="00A265D0" w:rsidRDefault="00A265D0" w:rsidP="00A265D0">
      <w:r w:rsidRPr="00A265D0">
        <w:t xml:space="preserve">This domain is considered high risk because the system directly affects fundamental rights related to education, equality, </w:t>
      </w:r>
      <w:proofErr w:type="spellStart"/>
      <w:proofErr w:type="gramStart"/>
      <w:r w:rsidRPr="00A265D0">
        <w:t>non discrimination</w:t>
      </w:r>
      <w:proofErr w:type="spellEnd"/>
      <w:proofErr w:type="gramEnd"/>
      <w:r w:rsidRPr="00A265D0">
        <w:t>, and child protection. Early cognitive screening tools can influence referrals, learning support allocation, and teachers’ expectations. Misclassification may shape long term educational trajectories, stigmatize children, or reinforce structural inequalities. The vulnerability of minors further elevates the risk profile. Children have limited capacity to understand or contest algorithmic outputs, and decisions made at early developmental stages may have lasting consequences. Therefore, the regulatory framework imposes stricter safeguards on systems operating in educational contexts.</w:t>
      </w:r>
    </w:p>
    <w:p w14:paraId="3568B628" w14:textId="37FCD75C" w:rsidR="00A265D0" w:rsidRPr="00A265D0" w:rsidRDefault="00A265D0" w:rsidP="00A265D0">
      <w:pPr>
        <w:pStyle w:val="Heading2"/>
      </w:pPr>
      <w:r w:rsidRPr="00A265D0">
        <w:t>AI System Description</w:t>
      </w:r>
    </w:p>
    <w:p w14:paraId="0D20F8FF" w14:textId="77777777" w:rsidR="00A265D0" w:rsidRPr="00A265D0" w:rsidRDefault="00A265D0" w:rsidP="00A265D0">
      <w:r w:rsidRPr="00A265D0">
        <w:t>The proposed AI solution is a VR based cognitive assessment system that evaluates processing speed, attention control, working memory, and executive function through immersive game like tasks. The system collects behavioral and performance data generated during structured virtual reality interactions. Inputs include reaction time measurements, movement tracking data, eye gaze direction, task completion duration, error rates, and interaction patterns within the virtual environment. Additional contextual inputs may include age group and educational level to normalize performance against developmental benchmarks.</w:t>
      </w:r>
    </w:p>
    <w:p w14:paraId="44FD07A8" w14:textId="77777777" w:rsidR="00A265D0" w:rsidRPr="00A265D0" w:rsidRDefault="00A265D0" w:rsidP="00A265D0">
      <w:r w:rsidRPr="00A265D0">
        <w:t>The system produces cognitive performance profiles and probabilistic risk indicators. Outputs include standardized cognitive scores, percentile rankings relative to normative datasets, and risk flags indicating potential developmental concerns. The system does not issue medical diagnoses but generates screening recommendations that may prompt further human evaluation.</w:t>
      </w:r>
    </w:p>
    <w:p w14:paraId="3A1B9AA3" w14:textId="77777777" w:rsidR="00A265D0" w:rsidRPr="00A265D0" w:rsidRDefault="00A265D0" w:rsidP="00A265D0">
      <w:r w:rsidRPr="00A265D0">
        <w:lastRenderedPageBreak/>
        <w:t xml:space="preserve">Technically, the system relies on supervised machine learning models trained on labeled cognitive performance datasets. These may include ensemble methods or neural network architectures capable of modeling nonlinear relationships between behavioral metrics and cognitive performance indicators. The model learns patterns across multiple features to estimate the likelihood that a given performance profile deviates significantly from </w:t>
      </w:r>
      <w:proofErr w:type="gramStart"/>
      <w:r w:rsidRPr="00A265D0">
        <w:t>age appropriate</w:t>
      </w:r>
      <w:proofErr w:type="gramEnd"/>
      <w:r w:rsidRPr="00A265D0">
        <w:t xml:space="preserve"> norms. Model training is supported by statistical validation, cross validation techniques, and threshold calibration to balance false positive and false negative rates.</w:t>
      </w:r>
    </w:p>
    <w:p w14:paraId="50083A8D" w14:textId="6C262322" w:rsidR="00A265D0" w:rsidRPr="00A265D0" w:rsidRDefault="00A265D0" w:rsidP="00A265D0">
      <w:pPr>
        <w:pStyle w:val="Heading2"/>
      </w:pPr>
      <w:r w:rsidRPr="00A265D0">
        <w:t>Deployment Context</w:t>
      </w:r>
    </w:p>
    <w:p w14:paraId="66BB1D2B" w14:textId="77777777" w:rsidR="00A265D0" w:rsidRPr="00A265D0" w:rsidRDefault="00A265D0" w:rsidP="00A265D0">
      <w:r w:rsidRPr="00A265D0">
        <w:t>The system is intended to be deployed in schools, educational psychology clinics, and child development centers. Primary users include educators, school psychologists, and trained clinical professionals. Parents may also receive reports derived from system outputs.</w:t>
      </w:r>
    </w:p>
    <w:p w14:paraId="335AF4AE" w14:textId="77777777" w:rsidR="00A265D0" w:rsidRPr="00A265D0" w:rsidRDefault="00A265D0" w:rsidP="00A265D0">
      <w:r w:rsidRPr="00A265D0">
        <w:t>Children between the ages of six and twelve are the primary individuals affected by the system’s outputs. While the system is framed as a screening tool rather than a diagnostic instrument, its outputs may influence decisions such as referral for specialist evaluation, targeted learning interventions, or placement in support programs. A realistic deployment scenario involves a primary school integrating the VR system into periodic cognitive development assessments. Students participate in short immersive tasks, after which educators receive structured reports highlighting areas of potential concern. These reports inform discussions with parents and may guide recommendations for further professional assessment.</w:t>
      </w:r>
    </w:p>
    <w:p w14:paraId="43698CEE" w14:textId="77777777" w:rsidR="00A265D0" w:rsidRPr="00A265D0" w:rsidRDefault="00A265D0" w:rsidP="00A265D0">
      <w:r w:rsidRPr="00A265D0">
        <w:t xml:space="preserve">Although the system is not designed to replace human judgment, its integration into institutional processes means that </w:t>
      </w:r>
      <w:proofErr w:type="gramStart"/>
      <w:r w:rsidRPr="00A265D0">
        <w:t>outputs</w:t>
      </w:r>
      <w:proofErr w:type="gramEnd"/>
      <w:r w:rsidRPr="00A265D0">
        <w:t xml:space="preserve"> may shape educational decision making in practice. As such, risks must be analyzed not only at the technical level but across the full system lifecycle, with explicit reference to Articles 9 through 15 of the EU AI Act. The combination of vulnerable users, high stakes educational implications, and probabilistic inference mechanisms justifies its classification as a </w:t>
      </w:r>
      <w:proofErr w:type="gramStart"/>
      <w:r w:rsidRPr="00A265D0">
        <w:t>high risk</w:t>
      </w:r>
      <w:proofErr w:type="gramEnd"/>
      <w:r w:rsidRPr="00A265D0">
        <w:t xml:space="preserve"> AI system under the Act.</w:t>
      </w:r>
    </w:p>
    <w:p w14:paraId="0951D190" w14:textId="77777777" w:rsidR="00A93D10" w:rsidRDefault="00A93D10"/>
    <w:sectPr w:rsidR="00A93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968DA"/>
    <w:multiLevelType w:val="multilevel"/>
    <w:tmpl w:val="D1CC4072"/>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258760D4"/>
    <w:multiLevelType w:val="hybridMultilevel"/>
    <w:tmpl w:val="54280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5A70BB"/>
    <w:multiLevelType w:val="multilevel"/>
    <w:tmpl w:val="FD66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DF5770"/>
    <w:multiLevelType w:val="multilevel"/>
    <w:tmpl w:val="154AFE2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29901771">
    <w:abstractNumId w:val="2"/>
  </w:num>
  <w:num w:numId="2" w16cid:durableId="2016180475">
    <w:abstractNumId w:val="3"/>
  </w:num>
  <w:num w:numId="3" w16cid:durableId="631597791">
    <w:abstractNumId w:val="1"/>
  </w:num>
  <w:num w:numId="4" w16cid:durableId="1491364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5D0"/>
    <w:rsid w:val="006D40D4"/>
    <w:rsid w:val="00A265D0"/>
    <w:rsid w:val="00A93D10"/>
    <w:rsid w:val="00B04D67"/>
    <w:rsid w:val="00BB60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1992B"/>
  <w15:chartTrackingRefBased/>
  <w15:docId w15:val="{00402B6C-A76D-4C1A-9C00-E88094DAC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65D0"/>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6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5D0"/>
    <w:rPr>
      <w:rFonts w:eastAsiaTheme="majorEastAsia" w:cstheme="majorBidi"/>
      <w:color w:val="272727" w:themeColor="text1" w:themeTint="D8"/>
    </w:rPr>
  </w:style>
  <w:style w:type="paragraph" w:styleId="Title">
    <w:name w:val="Title"/>
    <w:basedOn w:val="Normal"/>
    <w:next w:val="Normal"/>
    <w:link w:val="TitleChar"/>
    <w:uiPriority w:val="10"/>
    <w:qFormat/>
    <w:rsid w:val="00A26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5D0"/>
    <w:pPr>
      <w:spacing w:before="160"/>
      <w:jc w:val="center"/>
    </w:pPr>
    <w:rPr>
      <w:i/>
      <w:iCs/>
      <w:color w:val="404040" w:themeColor="text1" w:themeTint="BF"/>
    </w:rPr>
  </w:style>
  <w:style w:type="character" w:customStyle="1" w:styleId="QuoteChar">
    <w:name w:val="Quote Char"/>
    <w:basedOn w:val="DefaultParagraphFont"/>
    <w:link w:val="Quote"/>
    <w:uiPriority w:val="29"/>
    <w:rsid w:val="00A265D0"/>
    <w:rPr>
      <w:i/>
      <w:iCs/>
      <w:color w:val="404040" w:themeColor="text1" w:themeTint="BF"/>
    </w:rPr>
  </w:style>
  <w:style w:type="paragraph" w:styleId="ListParagraph">
    <w:name w:val="List Paragraph"/>
    <w:basedOn w:val="Normal"/>
    <w:uiPriority w:val="34"/>
    <w:qFormat/>
    <w:rsid w:val="00A265D0"/>
    <w:pPr>
      <w:ind w:left="720"/>
      <w:contextualSpacing/>
    </w:pPr>
  </w:style>
  <w:style w:type="character" w:styleId="IntenseEmphasis">
    <w:name w:val="Intense Emphasis"/>
    <w:basedOn w:val="DefaultParagraphFont"/>
    <w:uiPriority w:val="21"/>
    <w:qFormat/>
    <w:rsid w:val="00A265D0"/>
    <w:rPr>
      <w:i/>
      <w:iCs/>
      <w:color w:val="0F4761" w:themeColor="accent1" w:themeShade="BF"/>
    </w:rPr>
  </w:style>
  <w:style w:type="paragraph" w:styleId="IntenseQuote">
    <w:name w:val="Intense Quote"/>
    <w:basedOn w:val="Normal"/>
    <w:next w:val="Normal"/>
    <w:link w:val="IntenseQuoteChar"/>
    <w:uiPriority w:val="30"/>
    <w:qFormat/>
    <w:rsid w:val="00A26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5D0"/>
    <w:rPr>
      <w:i/>
      <w:iCs/>
      <w:color w:val="0F4761" w:themeColor="accent1" w:themeShade="BF"/>
    </w:rPr>
  </w:style>
  <w:style w:type="character" w:styleId="IntenseReference">
    <w:name w:val="Intense Reference"/>
    <w:basedOn w:val="DefaultParagraphFont"/>
    <w:uiPriority w:val="32"/>
    <w:qFormat/>
    <w:rsid w:val="00A265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606</Words>
  <Characters>3890</Characters>
  <Application>Microsoft Office Word</Application>
  <DocSecurity>0</DocSecurity>
  <Lines>58</Lines>
  <Paragraphs>13</Paragraphs>
  <ScaleCrop>false</ScaleCrop>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Hessam Motahari</dc:creator>
  <cp:keywords/>
  <dc:description/>
  <cp:lastModifiedBy>Hessam Motahari</cp:lastModifiedBy>
  <cp:revision>1</cp:revision>
  <dcterms:created xsi:type="dcterms:W3CDTF">2026-02-25T16:41:00Z</dcterms:created>
  <dcterms:modified xsi:type="dcterms:W3CDTF">2026-02-25T16:44:00Z</dcterms:modified>
</cp:coreProperties>
</file>