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5B70F" w14:textId="13B021C2" w:rsidR="00E93137" w:rsidRPr="00E93137" w:rsidRDefault="00E93137" w:rsidP="006F1D81">
      <w:pPr>
        <w:pStyle w:val="Heading1"/>
        <w:numPr>
          <w:ilvl w:val="0"/>
          <w:numId w:val="4"/>
        </w:numPr>
      </w:pPr>
      <w:r w:rsidRPr="00E93137">
        <w:t>Mitigation Strategy Framework</w:t>
      </w:r>
    </w:p>
    <w:p w14:paraId="36FC9C15" w14:textId="77777777" w:rsidR="00E93137" w:rsidRPr="00E93137" w:rsidRDefault="00E93137" w:rsidP="00E93137">
      <w:r w:rsidRPr="00E93137">
        <w:t>The mitigation framework for the AI enabled VR cognitive assessment system must be designed to interrupt the compounding risk chains identified in the lifecycle analysis. Because the primary danger arises from the interaction of data bias, limited transparency, weak oversight, and technical inaccuracy, mitigation cannot operate at a single layer. Instead, it must combine technical and design safeguards with regulatory and legal mechanisms that reinforce each other. The objective is not merely compliance with Articles 9 to 15 of the EU AI Act, but the structural prevention of systemic misclassification and institutionalized harm.</w:t>
      </w:r>
    </w:p>
    <w:p w14:paraId="13FC9F1C" w14:textId="2BA2A868" w:rsidR="00E93137" w:rsidRPr="00E93137" w:rsidRDefault="00E93137" w:rsidP="006F1D81">
      <w:pPr>
        <w:pStyle w:val="Heading2"/>
      </w:pPr>
      <w:r w:rsidRPr="00E93137">
        <w:t>Technical and Design Mitigations</w:t>
      </w:r>
    </w:p>
    <w:p w14:paraId="5D70A19A" w14:textId="77777777" w:rsidR="00E93137" w:rsidRPr="00E93137" w:rsidRDefault="00E93137" w:rsidP="00E93137">
      <w:r w:rsidRPr="00E93137">
        <w:t xml:space="preserve">The first layer addresses risks at the model, data, and system architecture level. In accordance with Article 10 on data governance, the system must implement structured dataset auditing before and during model development. Training data should be demonstrably representative across socioeconomic </w:t>
      </w:r>
      <w:proofErr w:type="gramStart"/>
      <w:r w:rsidRPr="00E93137">
        <w:t>background</w:t>
      </w:r>
      <w:proofErr w:type="gramEnd"/>
      <w:r w:rsidRPr="00E93137">
        <w:t>, linguistic diversity, neurodivergent profiles, and varying levels of familiarity with immersive technology. Representation metrics should be documented and periodically reviewed. Where gaps are identified, targeted data collection or synthetic balancing methods should be used to reduce structural bias.</w:t>
      </w:r>
    </w:p>
    <w:p w14:paraId="44F48622" w14:textId="77777777" w:rsidR="00E93137" w:rsidRPr="00E93137" w:rsidRDefault="00E93137" w:rsidP="00E93137">
      <w:r w:rsidRPr="00E93137">
        <w:t>To address robustness and measurement variability under Article 15, calibration protocols must be embedded directly into system design. Each session should begin with an environmental calibration sequence that evaluates headset tracking stability, lighting interference, and baseline motor alignment. The system should detect abnormal sensor conditions and suspend scoring when measurement reliability falls below predefined thresholds. This prevents minor hardware variability from cascading into erroneous cognitive risk outputs.</w:t>
      </w:r>
    </w:p>
    <w:p w14:paraId="73CAA37C" w14:textId="77777777" w:rsidR="00E93137" w:rsidRPr="00E93137" w:rsidRDefault="00E93137" w:rsidP="00E93137">
      <w:r w:rsidRPr="00E93137">
        <w:t>Explainability must be built into the user interface to satisfy Article 13. Rather than presenting a single numerical cognitive score, the system should provide domain level performance breakdowns, confidence intervals, and contextual explanations in accessible language. Parents and educators should be informed that results are probabilistic screening indicators rather than diagnostic conclusions. Feature contribution summaries should be available for professional users so that they can understand which behavioral metrics most influenced the output.</w:t>
      </w:r>
    </w:p>
    <w:p w14:paraId="3FEEC3C8" w14:textId="77777777" w:rsidR="00E93137" w:rsidRPr="00E93137" w:rsidRDefault="00E93137" w:rsidP="00E93137">
      <w:r w:rsidRPr="00E93137">
        <w:lastRenderedPageBreak/>
        <w:t xml:space="preserve">Human oversight mechanisms under Article 14 must be operational rather than symbolic. The system should require mandatory human validation for </w:t>
      </w:r>
      <w:proofErr w:type="gramStart"/>
      <w:r w:rsidRPr="00E93137">
        <w:t>high risk</w:t>
      </w:r>
      <w:proofErr w:type="gramEnd"/>
      <w:r w:rsidRPr="00E93137">
        <w:t xml:space="preserve"> flags before any referral recommendation is generated. In addition, override functionality must be built into the interface, allowing educators or clinicians to annotate and contextualize results. Structured training programs should accompany deployment to reduce automation bias and reinforce the role of professional judgment.</w:t>
      </w:r>
    </w:p>
    <w:p w14:paraId="45D9B3AF" w14:textId="77777777" w:rsidR="00E93137" w:rsidRPr="00E93137" w:rsidRDefault="00E93137" w:rsidP="00E93137">
      <w:r w:rsidRPr="00E93137">
        <w:t>Continuous monitoring forms the final technical safeguard under Article 9. Post deployment auditing should track outcome disparities across demographic groups, false positive and false negative rates, and longitudinal drift in model behavior. If patterns of disproportionate flagging emerge, retraining or threshold adjustment should be triggered automatically.</w:t>
      </w:r>
    </w:p>
    <w:p w14:paraId="4BCF2D38" w14:textId="77777777" w:rsidR="00E93137" w:rsidRPr="00E93137" w:rsidRDefault="00E93137" w:rsidP="00E93137">
      <w:r w:rsidRPr="00E93137">
        <w:t>Together, these technical measures directly interrupt the compounding chain identified earlier. Bias becomes measurable and correctable. Transparency reduces blind reliance. Robust calibration limits noise driven misclassification. Oversight becomes substantive rather than procedural.</w:t>
      </w:r>
    </w:p>
    <w:p w14:paraId="6606A5B8" w14:textId="21D6C488" w:rsidR="00E93137" w:rsidRPr="00E93137" w:rsidRDefault="00E93137" w:rsidP="006F1D81">
      <w:pPr>
        <w:pStyle w:val="Heading2"/>
      </w:pPr>
      <w:r w:rsidRPr="00E93137">
        <w:t>Regulatory and Legal Mitigations</w:t>
      </w:r>
    </w:p>
    <w:p w14:paraId="28105EA9" w14:textId="77777777" w:rsidR="00E93137" w:rsidRPr="00E93137" w:rsidRDefault="00E93137" w:rsidP="00E93137">
      <w:r w:rsidRPr="00E93137">
        <w:t>Technical safeguards alone cannot prevent institutional harm. A complementary regulatory layer must ensure accountability and enforceability.</w:t>
      </w:r>
    </w:p>
    <w:p w14:paraId="170C3291" w14:textId="77777777" w:rsidR="00E93137" w:rsidRPr="00E93137" w:rsidRDefault="00E93137" w:rsidP="00E93137">
      <w:r w:rsidRPr="00E93137">
        <w:t xml:space="preserve">First, conformity assessment procedures under the EU AI Act should be strengthened through mandatory </w:t>
      </w:r>
      <w:proofErr w:type="gramStart"/>
      <w:r w:rsidRPr="00E93137">
        <w:t>third party</w:t>
      </w:r>
      <w:proofErr w:type="gramEnd"/>
      <w:r w:rsidRPr="00E93137">
        <w:t xml:space="preserve"> auditing prior to market deployment. Independent reviewers should evaluate dataset representativeness, robustness testing documentation, and human oversight design. Certification should be conditional on demonstrable compliance with Articles 9 through 15.</w:t>
      </w:r>
    </w:p>
    <w:p w14:paraId="49FCAEDB" w14:textId="77777777" w:rsidR="00E93137" w:rsidRPr="00E93137" w:rsidRDefault="00E93137" w:rsidP="00E93137">
      <w:r w:rsidRPr="00E93137">
        <w:t>Second, enhanced rights to explanation and contestability should be formally integrated into deployment contracts with schools and clinical institutions. Parents must be granted a clear pathway to request human review and receive a structured explanation of outputs. This aligns with transparency obligations and strengthens practical enforceability.</w:t>
      </w:r>
    </w:p>
    <w:p w14:paraId="7DCCDAA7" w14:textId="77777777" w:rsidR="00E93137" w:rsidRPr="00E93137" w:rsidRDefault="00E93137" w:rsidP="00E93137">
      <w:r w:rsidRPr="00E93137">
        <w:t>Third</w:t>
      </w:r>
      <w:proofErr w:type="gramStart"/>
      <w:r w:rsidRPr="00E93137">
        <w:t>, sector</w:t>
      </w:r>
      <w:proofErr w:type="gramEnd"/>
      <w:r w:rsidRPr="00E93137">
        <w:t xml:space="preserve"> specific guidelines for AI in child cognitive assessment should be developed at the regulatory level. Because children constitute a vulnerable population, regulators should require stricter performance thresholds and periodic recertification compared to other </w:t>
      </w:r>
      <w:proofErr w:type="gramStart"/>
      <w:r w:rsidRPr="00E93137">
        <w:t>high risk</w:t>
      </w:r>
      <w:proofErr w:type="gramEnd"/>
      <w:r w:rsidRPr="00E93137">
        <w:t xml:space="preserve"> systems. This reduces the risk of </w:t>
      </w:r>
      <w:proofErr w:type="gramStart"/>
      <w:r w:rsidRPr="00E93137">
        <w:t>long term</w:t>
      </w:r>
      <w:proofErr w:type="gramEnd"/>
      <w:r w:rsidRPr="00E93137">
        <w:t xml:space="preserve"> institutionalization of minor design flaws.</w:t>
      </w:r>
    </w:p>
    <w:p w14:paraId="36ED235E" w14:textId="77777777" w:rsidR="00E93137" w:rsidRPr="00E93137" w:rsidRDefault="00E93137" w:rsidP="00E93137">
      <w:r w:rsidRPr="00E93137">
        <w:t xml:space="preserve">Fourth, enforcement mechanisms must include clear liability allocation. In the event of systematic bias or demonstrable harm resulting from negligent data governance, providers </w:t>
      </w:r>
      <w:r w:rsidRPr="00E93137">
        <w:lastRenderedPageBreak/>
        <w:t>should face administrative fines consistent with EU AI Act penalty provisions. Institutions deploying the system should also bear responsibility if human oversight procedures are ignored.</w:t>
      </w:r>
    </w:p>
    <w:p w14:paraId="427299CD" w14:textId="77777777" w:rsidR="00E93137" w:rsidRPr="00E93137" w:rsidRDefault="00E93137" w:rsidP="00E93137">
      <w:r w:rsidRPr="00E93137">
        <w:t xml:space="preserve">Finally, regulatory transparency registries should require public disclosure of </w:t>
      </w:r>
      <w:proofErr w:type="gramStart"/>
      <w:r w:rsidRPr="00E93137">
        <w:t>high risk</w:t>
      </w:r>
      <w:proofErr w:type="gramEnd"/>
      <w:r w:rsidRPr="00E93137">
        <w:t xml:space="preserve"> educational AI systems. Public accountability reduces opacity and encourages responsible innovation without prohibiting technological advancement.</w:t>
      </w:r>
    </w:p>
    <w:p w14:paraId="41832058" w14:textId="77777777" w:rsidR="00E93137" w:rsidRPr="00E93137" w:rsidRDefault="00E93137" w:rsidP="00E93137">
      <w:r w:rsidRPr="00E93137">
        <w:t>By aligning technical design with regulatory oversight, the mitigation framework breaks the compounding dynamics previously identified. Bias is constrained by representational audits and external review. Opacity is reduced through explainable interfaces and enforceable explanation rights. Automation bias is mitigated by mandatory human validation and professional training. Accuracy failures are limited through calibration and ongoing performance monitoring.</w:t>
      </w:r>
    </w:p>
    <w:p w14:paraId="5E7CA5C3" w14:textId="77777777" w:rsidR="00E93137" w:rsidRPr="00E93137" w:rsidRDefault="00E93137" w:rsidP="00E93137">
      <w:r w:rsidRPr="00E93137">
        <w:t xml:space="preserve">The layered structure ensures that no single safeguard bears the entire burden of risk prevention. Instead, each mechanism reinforces the others, transforming isolated compliance measures into an integrated governance architecture suitable for a </w:t>
      </w:r>
      <w:proofErr w:type="gramStart"/>
      <w:r w:rsidRPr="00E93137">
        <w:t>high risk</w:t>
      </w:r>
      <w:proofErr w:type="gramEnd"/>
      <w:r w:rsidRPr="00E93137">
        <w:t xml:space="preserve"> AI system operating within a vulnerable population.</w:t>
      </w:r>
    </w:p>
    <w:p w14:paraId="2F86625B" w14:textId="77777777" w:rsidR="00A93D10" w:rsidRDefault="00A93D10"/>
    <w:sectPr w:rsidR="00A93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68DA"/>
    <w:multiLevelType w:val="multilevel"/>
    <w:tmpl w:val="BCF20602"/>
    <w:lvl w:ilvl="0">
      <w:start w:val="3"/>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15F34869"/>
    <w:multiLevelType w:val="multilevel"/>
    <w:tmpl w:val="54EC76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760D4"/>
    <w:multiLevelType w:val="hybridMultilevel"/>
    <w:tmpl w:val="54280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5A70BB"/>
    <w:multiLevelType w:val="multilevel"/>
    <w:tmpl w:val="FD6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F5770"/>
    <w:multiLevelType w:val="multilevel"/>
    <w:tmpl w:val="154AFE2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29901771">
    <w:abstractNumId w:val="3"/>
  </w:num>
  <w:num w:numId="2" w16cid:durableId="2016180475">
    <w:abstractNumId w:val="4"/>
  </w:num>
  <w:num w:numId="3" w16cid:durableId="631597791">
    <w:abstractNumId w:val="2"/>
  </w:num>
  <w:num w:numId="4" w16cid:durableId="1491364264">
    <w:abstractNumId w:val="0"/>
  </w:num>
  <w:num w:numId="5" w16cid:durableId="2091391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D0"/>
    <w:rsid w:val="006D40D4"/>
    <w:rsid w:val="006F1D81"/>
    <w:rsid w:val="00757A42"/>
    <w:rsid w:val="00A265D0"/>
    <w:rsid w:val="00A93D10"/>
    <w:rsid w:val="00B04D67"/>
    <w:rsid w:val="00BB6085"/>
    <w:rsid w:val="00E931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992B"/>
  <w15:chartTrackingRefBased/>
  <w15:docId w15:val="{00402B6C-A76D-4C1A-9C00-E88094DA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65D0"/>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6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5D0"/>
    <w:rPr>
      <w:rFonts w:eastAsiaTheme="majorEastAsia" w:cstheme="majorBidi"/>
      <w:color w:val="272727" w:themeColor="text1" w:themeTint="D8"/>
    </w:rPr>
  </w:style>
  <w:style w:type="paragraph" w:styleId="Title">
    <w:name w:val="Title"/>
    <w:basedOn w:val="Normal"/>
    <w:next w:val="Normal"/>
    <w:link w:val="TitleChar"/>
    <w:uiPriority w:val="10"/>
    <w:qFormat/>
    <w:rsid w:val="00A26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5D0"/>
    <w:pPr>
      <w:spacing w:before="160"/>
      <w:jc w:val="center"/>
    </w:pPr>
    <w:rPr>
      <w:i/>
      <w:iCs/>
      <w:color w:val="404040" w:themeColor="text1" w:themeTint="BF"/>
    </w:rPr>
  </w:style>
  <w:style w:type="character" w:customStyle="1" w:styleId="QuoteChar">
    <w:name w:val="Quote Char"/>
    <w:basedOn w:val="DefaultParagraphFont"/>
    <w:link w:val="Quote"/>
    <w:uiPriority w:val="29"/>
    <w:rsid w:val="00A265D0"/>
    <w:rPr>
      <w:i/>
      <w:iCs/>
      <w:color w:val="404040" w:themeColor="text1" w:themeTint="BF"/>
    </w:rPr>
  </w:style>
  <w:style w:type="paragraph" w:styleId="ListParagraph">
    <w:name w:val="List Paragraph"/>
    <w:basedOn w:val="Normal"/>
    <w:uiPriority w:val="34"/>
    <w:qFormat/>
    <w:rsid w:val="00A265D0"/>
    <w:pPr>
      <w:ind w:left="720"/>
      <w:contextualSpacing/>
    </w:pPr>
  </w:style>
  <w:style w:type="character" w:styleId="IntenseEmphasis">
    <w:name w:val="Intense Emphasis"/>
    <w:basedOn w:val="DefaultParagraphFont"/>
    <w:uiPriority w:val="21"/>
    <w:qFormat/>
    <w:rsid w:val="00A265D0"/>
    <w:rPr>
      <w:i/>
      <w:iCs/>
      <w:color w:val="0F4761" w:themeColor="accent1" w:themeShade="BF"/>
    </w:rPr>
  </w:style>
  <w:style w:type="paragraph" w:styleId="IntenseQuote">
    <w:name w:val="Intense Quote"/>
    <w:basedOn w:val="Normal"/>
    <w:next w:val="Normal"/>
    <w:link w:val="IntenseQuoteChar"/>
    <w:uiPriority w:val="30"/>
    <w:qFormat/>
    <w:rsid w:val="00A26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5D0"/>
    <w:rPr>
      <w:i/>
      <w:iCs/>
      <w:color w:val="0F4761" w:themeColor="accent1" w:themeShade="BF"/>
    </w:rPr>
  </w:style>
  <w:style w:type="character" w:styleId="IntenseReference">
    <w:name w:val="Intense Reference"/>
    <w:basedOn w:val="DefaultParagraphFont"/>
    <w:uiPriority w:val="32"/>
    <w:qFormat/>
    <w:rsid w:val="00A26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832</Words>
  <Characters>5339</Characters>
  <Application>Microsoft Office Word</Application>
  <DocSecurity>0</DocSecurity>
  <Lines>80</Lines>
  <Paragraphs>18</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Hessam Motahari</dc:creator>
  <cp:keywords/>
  <dc:description/>
  <cp:lastModifiedBy>Hessam Motahari</cp:lastModifiedBy>
  <cp:revision>4</cp:revision>
  <dcterms:created xsi:type="dcterms:W3CDTF">2026-02-25T16:44:00Z</dcterms:created>
  <dcterms:modified xsi:type="dcterms:W3CDTF">2026-02-25T16:46:00Z</dcterms:modified>
</cp:coreProperties>
</file>