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bottom w:color="auto" w:space="0" w:sz="0" w:val="none"/>
          <w:right w:color="auto" w:space="0" w:sz="0" w:val="none"/>
          <w:between w:color="auto" w:space="0" w:sz="0" w:val="none"/>
        </w:pBdr>
        <w:ind w:left="0" w:firstLine="0"/>
        <w:rPr>
          <w:color w:val="0f4761"/>
          <w:sz w:val="40"/>
          <w:szCs w:val="40"/>
        </w:rPr>
      </w:pPr>
      <w:r w:rsidDel="00000000" w:rsidR="00000000" w:rsidRPr="00000000">
        <w:rPr>
          <w:color w:val="0f4761"/>
          <w:sz w:val="40"/>
          <w:szCs w:val="40"/>
          <w:rtl w:val="0"/>
        </w:rPr>
        <w:t xml:space="preserve">2. Risk Analysis </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80" w:before="160" w:lineRule="auto"/>
        <w:jc w:val="both"/>
        <w:rPr>
          <w:color w:val="0f4761"/>
          <w:sz w:val="32"/>
          <w:szCs w:val="32"/>
        </w:rPr>
      </w:pPr>
      <w:r w:rsidDel="00000000" w:rsidR="00000000" w:rsidRPr="00000000">
        <w:rPr>
          <w:color w:val="0f4761"/>
          <w:sz w:val="32"/>
          <w:szCs w:val="32"/>
          <w:rtl w:val="0"/>
        </w:rPr>
        <w:t xml:space="preserve">2.1 Risk Identification </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jc w:val="both"/>
        <w:rPr>
          <w:b w:val="1"/>
          <w:bCs w:val="1"/>
          <w:sz w:val="24"/>
          <w:szCs w:val="24"/>
        </w:rPr>
      </w:pPr>
      <w:r w:rsidDel="00000000" w:rsidR="00000000" w:rsidRPr="00000000">
        <w:rPr>
          <w:rtl w:val="0"/>
        </w:rPr>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jc w:val="both"/>
        <w:rPr>
          <w:sz w:val="24"/>
          <w:szCs w:val="24"/>
        </w:rPr>
      </w:pPr>
      <w:r w:rsidDel="00000000" w:rsidR="00000000" w:rsidRPr="00000000">
        <w:rPr>
          <w:b w:val="1"/>
          <w:bCs w:val="1"/>
          <w:sz w:val="24"/>
          <w:szCs w:val="24"/>
          <w:rtl w:val="0"/>
        </w:rPr>
        <w:t xml:space="preserve">Risk 1: D</w:t>
      </w:r>
      <w:r w:rsidDel="00000000" w:rsidR="00000000" w:rsidRPr="00000000">
        <w:rPr>
          <w:rFonts w:ascii="Roboto" w:cs="Roboto" w:eastAsia="Roboto" w:hAnsi="Roboto"/>
          <w:b w:val="1"/>
          <w:bCs w:val="1"/>
          <w:color w:val="000018"/>
          <w:sz w:val="23"/>
          <w:szCs w:val="23"/>
          <w:highlight w:val="white"/>
          <w:rtl w:val="0"/>
        </w:rPr>
        <w:t xml:space="preserve">evelopmental Misclassification (Accuracy and Robustness Risk)</w:t>
      </w:r>
      <w:r w:rsidDel="00000000" w:rsidR="00000000" w:rsidRPr="00000000">
        <w:rPr>
          <w:sz w:val="24"/>
          <w:szCs w:val="24"/>
          <w:rtl w:val="0"/>
        </w:rPr>
        <w:t xml:space="preserve"> </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jc w:val="both"/>
        <w:rPr>
          <w:sz w:val="24"/>
          <w:szCs w:val="24"/>
        </w:rPr>
      </w:pPr>
      <w:r w:rsidDel="00000000" w:rsidR="00000000" w:rsidRPr="00000000">
        <w:rPr>
          <w:rtl w:val="0"/>
        </w:rPr>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jc w:val="both"/>
        <w:rPr>
          <w:rFonts w:ascii="Roboto" w:cs="Roboto" w:eastAsia="Roboto" w:hAnsi="Roboto"/>
          <w:color w:val="000018"/>
          <w:sz w:val="23"/>
          <w:szCs w:val="23"/>
          <w:highlight w:val="white"/>
        </w:rPr>
      </w:pPr>
      <w:r w:rsidDel="00000000" w:rsidR="00000000" w:rsidRPr="00000000">
        <w:rPr>
          <w:rFonts w:ascii="Roboto" w:cs="Roboto" w:eastAsia="Roboto" w:hAnsi="Roboto"/>
          <w:color w:val="000018"/>
          <w:sz w:val="23"/>
          <w:szCs w:val="23"/>
          <w:highlight w:val="white"/>
          <w:rtl w:val="0"/>
        </w:rPr>
        <w:t xml:space="preserve">The proposed VR-based cognitive assessment system estimates children’s cognitive abilities using behavioural proxies such as reaction time, gaze orientation, motor coordination, and interaction patterns within immersive tasks. However, performance in virtual environments can be influenced by factors unrelated to cognitive capacity, including familiarity with digital interfaces, sensory sensitivity, fatigue, emotional state, and environmental distraction. As a result, measured performance may not accurately reflect real-world cognitive functioning.</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jc w:val="both"/>
        <w:rPr>
          <w:sz w:val="24"/>
          <w:szCs w:val="24"/>
        </w:rPr>
      </w:pPr>
      <w:r w:rsidDel="00000000" w:rsidR="00000000" w:rsidRPr="00000000">
        <w:rPr>
          <w:rtl w:val="0"/>
        </w:rPr>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jc w:val="both"/>
        <w:rPr>
          <w:rFonts w:ascii="Roboto" w:cs="Roboto" w:eastAsia="Roboto" w:hAnsi="Roboto"/>
          <w:color w:val="000018"/>
          <w:sz w:val="23"/>
          <w:szCs w:val="23"/>
          <w:highlight w:val="white"/>
        </w:rPr>
      </w:pPr>
      <w:r w:rsidDel="00000000" w:rsidR="00000000" w:rsidRPr="00000000">
        <w:rPr>
          <w:rFonts w:ascii="Roboto" w:cs="Roboto" w:eastAsia="Roboto" w:hAnsi="Roboto"/>
          <w:color w:val="000018"/>
          <w:sz w:val="23"/>
          <w:szCs w:val="23"/>
          <w:highlight w:val="white"/>
          <w:rtl w:val="0"/>
        </w:rPr>
        <w:t xml:space="preserve">This creates a risk of developmental misclassification. Children who are unfamiliar with VR interaction or who experience situational distraction during testing may be incorrectly identified as cognitively at risk. Conversely, children comfortable with game-like environments may appear to perform above normative levels. Such inaccuracies may influence teacher expectations, referral decisions, and parental perceptions during a formative stage of development. Because early educational labeling can shape learning trajectories and self-confidence, even small measurement errors may have disproportionate consequences.</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jc w:val="both"/>
        <w:rPr>
          <w:sz w:val="24"/>
          <w:szCs w:val="24"/>
        </w:rPr>
      </w:pPr>
      <w:r w:rsidDel="00000000" w:rsidR="00000000" w:rsidRPr="00000000">
        <w:rPr>
          <w:rtl w:val="0"/>
        </w:rPr>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jc w:val="both"/>
        <w:rPr>
          <w:rFonts w:ascii="Roboto" w:cs="Roboto" w:eastAsia="Roboto" w:hAnsi="Roboto"/>
          <w:color w:val="000018"/>
          <w:sz w:val="23"/>
          <w:szCs w:val="23"/>
          <w:highlight w:val="white"/>
        </w:rPr>
      </w:pPr>
      <w:r w:rsidDel="00000000" w:rsidR="00000000" w:rsidRPr="00000000">
        <w:rPr>
          <w:rFonts w:ascii="Roboto" w:cs="Roboto" w:eastAsia="Roboto" w:hAnsi="Roboto"/>
          <w:color w:val="000018"/>
          <w:sz w:val="23"/>
          <w:szCs w:val="23"/>
          <w:highlight w:val="white"/>
          <w:rtl w:val="0"/>
        </w:rPr>
        <w:t xml:space="preserve">Article 15 of the EU AI Act requires high-risk AI systems to ensure appropriate levels of accuracy and robustness relative to their intended purpose. In child cognitive screening contexts, sensitivity of behavioural measurement to environmental and experiential factors introduces a significant risk that this requirement may not be fully satisfied.</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jc w:val="both"/>
        <w:rPr>
          <w:sz w:val="24"/>
          <w:szCs w:val="24"/>
        </w:rPr>
      </w:pPr>
      <w:r w:rsidDel="00000000" w:rsidR="00000000" w:rsidRPr="00000000">
        <w:rPr>
          <w:rtl w:val="0"/>
        </w:rPr>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jc w:val="both"/>
        <w:rPr>
          <w:sz w:val="24"/>
          <w:szCs w:val="24"/>
        </w:rPr>
      </w:pPr>
      <w:r w:rsidDel="00000000" w:rsidR="00000000" w:rsidRPr="00000000">
        <w:rPr>
          <w:b w:val="1"/>
          <w:bCs w:val="1"/>
          <w:sz w:val="24"/>
          <w:szCs w:val="24"/>
          <w:rtl w:val="0"/>
        </w:rPr>
        <w:t xml:space="preserve">Risk 2: </w:t>
      </w:r>
      <w:r w:rsidDel="00000000" w:rsidR="00000000" w:rsidRPr="00000000">
        <w:rPr>
          <w:rFonts w:ascii="Roboto" w:cs="Roboto" w:eastAsia="Roboto" w:hAnsi="Roboto"/>
          <w:b w:val="1"/>
          <w:bCs w:val="1"/>
          <w:color w:val="000018"/>
          <w:sz w:val="23"/>
          <w:szCs w:val="23"/>
          <w:highlight w:val="white"/>
          <w:rtl w:val="0"/>
        </w:rPr>
        <w:t xml:space="preserve">Inadequate Data Governance (Bias and Representativeness Risk)</w:t>
      </w:r>
      <w:r w:rsidDel="00000000" w:rsidR="00000000" w:rsidRPr="00000000">
        <w:rPr>
          <w:sz w:val="24"/>
          <w:szCs w:val="24"/>
          <w:rtl w:val="0"/>
        </w:rPr>
        <w:t xml:space="preserve"> </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jc w:val="both"/>
        <w:rPr>
          <w:b w:val="1"/>
          <w:bCs w:val="1"/>
          <w:sz w:val="24"/>
          <w:szCs w:val="24"/>
        </w:rPr>
      </w:pPr>
      <w:r w:rsidDel="00000000" w:rsidR="00000000" w:rsidRPr="00000000">
        <w:rPr>
          <w:rtl w:val="0"/>
        </w:rPr>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jc w:val="both"/>
        <w:rPr>
          <w:rFonts w:ascii="Roboto" w:cs="Roboto" w:eastAsia="Roboto" w:hAnsi="Roboto"/>
          <w:color w:val="000018"/>
          <w:sz w:val="23"/>
          <w:szCs w:val="23"/>
          <w:highlight w:val="white"/>
        </w:rPr>
      </w:pPr>
      <w:r w:rsidDel="00000000" w:rsidR="00000000" w:rsidRPr="00000000">
        <w:rPr>
          <w:rFonts w:ascii="Roboto" w:cs="Roboto" w:eastAsia="Roboto" w:hAnsi="Roboto"/>
          <w:color w:val="000018"/>
          <w:sz w:val="23"/>
          <w:szCs w:val="23"/>
          <w:highlight w:val="white"/>
          <w:rtl w:val="0"/>
        </w:rPr>
        <w:t xml:space="preserve">The system relies on training datasets that define normative cognitive performance patterns for children. If these datasets are derived primarily from specific cultural, linguistic, or technologically familiar populations, they may encode narrow developmental benchmarks that do not reflect the diversity of childhood experiences. Children whose interaction styles differ because of neurodiversity, multilingual background, or limited exposure to digital technologies may therefore be evaluated against inappropriate norms.</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jc w:val="both"/>
        <w:rPr>
          <w:sz w:val="24"/>
          <w:szCs w:val="24"/>
        </w:rPr>
      </w:pPr>
      <w:r w:rsidDel="00000000" w:rsidR="00000000" w:rsidRPr="00000000">
        <w:rPr>
          <w:rtl w:val="0"/>
        </w:rPr>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jc w:val="both"/>
        <w:rPr>
          <w:rFonts w:ascii="Roboto" w:cs="Roboto" w:eastAsia="Roboto" w:hAnsi="Roboto"/>
          <w:color w:val="000018"/>
          <w:sz w:val="23"/>
          <w:szCs w:val="23"/>
          <w:highlight w:val="white"/>
        </w:rPr>
      </w:pPr>
      <w:r w:rsidDel="00000000" w:rsidR="00000000" w:rsidRPr="00000000">
        <w:rPr>
          <w:rFonts w:ascii="Roboto" w:cs="Roboto" w:eastAsia="Roboto" w:hAnsi="Roboto"/>
          <w:color w:val="000018"/>
          <w:sz w:val="23"/>
          <w:szCs w:val="23"/>
          <w:highlight w:val="white"/>
          <w:rtl w:val="0"/>
        </w:rPr>
        <w:t xml:space="preserve">This lack of representativeness may produce systematic bias in screening outcomes. Certain groups of children may be disproportionately flagged as cognitively at risk or may receive less accurate assessments. When integrated into educational decision-making processes, such bias may reinforce existing inequalities in referral patterns, support allocation, and teacher expectations. Over time, this can contribute to unequal developmental opportunities across demographic groups.</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jc w:val="both"/>
        <w:rPr>
          <w:sz w:val="24"/>
          <w:szCs w:val="24"/>
        </w:rPr>
      </w:pPr>
      <w:r w:rsidDel="00000000" w:rsidR="00000000" w:rsidRPr="00000000">
        <w:rPr>
          <w:rtl w:val="0"/>
        </w:rPr>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jc w:val="both"/>
        <w:rPr>
          <w:rFonts w:ascii="Roboto" w:cs="Roboto" w:eastAsia="Roboto" w:hAnsi="Roboto"/>
          <w:color w:val="000018"/>
          <w:sz w:val="23"/>
          <w:szCs w:val="23"/>
          <w:highlight w:val="white"/>
        </w:rPr>
      </w:pPr>
      <w:r w:rsidDel="00000000" w:rsidR="00000000" w:rsidRPr="00000000">
        <w:rPr>
          <w:rFonts w:ascii="Roboto" w:cs="Roboto" w:eastAsia="Roboto" w:hAnsi="Roboto"/>
          <w:color w:val="000018"/>
          <w:sz w:val="23"/>
          <w:szCs w:val="23"/>
          <w:highlight w:val="white"/>
          <w:rtl w:val="0"/>
        </w:rPr>
        <w:t xml:space="preserve">Article 10 of the EU AI Act requires that datasets used in high-risk AI systems be relevant, representative, and free from bias. Limited representation of diverse child populations directly challenges this requirement and creates fairness risks in educational assessment contexts.</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jc w:val="both"/>
        <w:rPr>
          <w:b w:val="1"/>
          <w:bCs w:val="1"/>
          <w:sz w:val="24"/>
          <w:szCs w:val="24"/>
        </w:rPr>
      </w:pPr>
      <w:r w:rsidDel="00000000" w:rsidR="00000000" w:rsidRPr="00000000">
        <w:rPr>
          <w:rtl w:val="0"/>
        </w:rPr>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jc w:val="both"/>
        <w:rPr>
          <w:sz w:val="24"/>
          <w:szCs w:val="24"/>
        </w:rPr>
      </w:pPr>
      <w:r w:rsidDel="00000000" w:rsidR="00000000" w:rsidRPr="00000000">
        <w:rPr>
          <w:b w:val="1"/>
          <w:bCs w:val="1"/>
          <w:sz w:val="24"/>
          <w:szCs w:val="24"/>
          <w:rtl w:val="0"/>
        </w:rPr>
        <w:t xml:space="preserve">Risk 3: </w:t>
      </w:r>
      <w:r w:rsidDel="00000000" w:rsidR="00000000" w:rsidRPr="00000000">
        <w:rPr>
          <w:rFonts w:ascii="Roboto" w:cs="Roboto" w:eastAsia="Roboto" w:hAnsi="Roboto"/>
          <w:b w:val="1"/>
          <w:bCs w:val="1"/>
          <w:color w:val="000018"/>
          <w:sz w:val="23"/>
          <w:szCs w:val="23"/>
          <w:highlight w:val="white"/>
          <w:rtl w:val="0"/>
        </w:rPr>
        <w:t xml:space="preserve">Over-Reliance and Reduced Human Judgment (Human Oversight Risk)</w:t>
      </w:r>
      <w:r w:rsidDel="00000000" w:rsidR="00000000" w:rsidRPr="00000000">
        <w:rPr>
          <w:sz w:val="24"/>
          <w:szCs w:val="24"/>
          <w:rtl w:val="0"/>
        </w:rPr>
        <w:t xml:space="preserve"> </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jc w:val="both"/>
        <w:rPr>
          <w:b w:val="1"/>
          <w:bCs w:val="1"/>
          <w:sz w:val="24"/>
          <w:szCs w:val="24"/>
        </w:rPr>
      </w:pPr>
      <w:r w:rsidDel="00000000" w:rsidR="00000000" w:rsidRPr="00000000">
        <w:rPr>
          <w:rtl w:val="0"/>
        </w:rPr>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jc w:val="both"/>
        <w:rPr>
          <w:rFonts w:ascii="Roboto" w:cs="Roboto" w:eastAsia="Roboto" w:hAnsi="Roboto"/>
          <w:color w:val="000018"/>
          <w:sz w:val="23"/>
          <w:szCs w:val="23"/>
          <w:highlight w:val="white"/>
        </w:rPr>
      </w:pPr>
      <w:r w:rsidDel="00000000" w:rsidR="00000000" w:rsidRPr="00000000">
        <w:rPr>
          <w:rFonts w:ascii="Roboto" w:cs="Roboto" w:eastAsia="Roboto" w:hAnsi="Roboto"/>
          <w:color w:val="000018"/>
          <w:sz w:val="23"/>
          <w:szCs w:val="23"/>
          <w:highlight w:val="white"/>
          <w:rtl w:val="0"/>
        </w:rPr>
        <w:t xml:space="preserve">Although the system is intended as a screening support tool, its standardized scores and structured reports may be perceived by educators and clinicians as objective indicators of cognitive ability. Repeated exposure to algorithmically generated metrics may gradually increase reliance on AI outputs during decision-making processes. As a result, professionals may defer to risk scores when considering referrals or instructional adjustments, even when classroom observation suggests alternative interpretations.</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jc w:val="both"/>
        <w:rPr>
          <w:sz w:val="24"/>
          <w:szCs w:val="24"/>
        </w:rPr>
      </w:pPr>
      <w:r w:rsidDel="00000000" w:rsidR="00000000" w:rsidRPr="00000000">
        <w:rPr>
          <w:rtl w:val="0"/>
        </w:rPr>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jc w:val="both"/>
        <w:rPr>
          <w:rFonts w:ascii="Roboto" w:cs="Roboto" w:eastAsia="Roboto" w:hAnsi="Roboto"/>
          <w:color w:val="000018"/>
          <w:sz w:val="23"/>
          <w:szCs w:val="23"/>
          <w:highlight w:val="white"/>
        </w:rPr>
      </w:pPr>
      <w:r w:rsidDel="00000000" w:rsidR="00000000" w:rsidRPr="00000000">
        <w:rPr>
          <w:rFonts w:ascii="Roboto" w:cs="Roboto" w:eastAsia="Roboto" w:hAnsi="Roboto"/>
          <w:color w:val="000018"/>
          <w:sz w:val="23"/>
          <w:szCs w:val="23"/>
          <w:highlight w:val="white"/>
          <w:rtl w:val="0"/>
        </w:rPr>
        <w:t xml:space="preserve">This dynamic reflects automation bias, in which algorithmic outputs are treated as more reliable than human judgment. In the context of minors, who cannot easily question or contest assessments, such reliance may reduce meaningful professional oversight. Probabilistic screening indicators may effectively become operational decisions influencing educational pathways.</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jc w:val="both"/>
        <w:rPr>
          <w:sz w:val="24"/>
          <w:szCs w:val="24"/>
        </w:rPr>
      </w:pPr>
      <w:r w:rsidDel="00000000" w:rsidR="00000000" w:rsidRPr="00000000">
        <w:rPr>
          <w:rtl w:val="0"/>
        </w:rPr>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jc w:val="both"/>
        <w:rPr>
          <w:rFonts w:ascii="Roboto" w:cs="Roboto" w:eastAsia="Roboto" w:hAnsi="Roboto"/>
          <w:color w:val="000018"/>
          <w:sz w:val="23"/>
          <w:szCs w:val="23"/>
          <w:highlight w:val="white"/>
        </w:rPr>
      </w:pPr>
      <w:r w:rsidDel="00000000" w:rsidR="00000000" w:rsidRPr="00000000">
        <w:rPr>
          <w:rFonts w:ascii="Roboto" w:cs="Roboto" w:eastAsia="Roboto" w:hAnsi="Roboto"/>
          <w:color w:val="000018"/>
          <w:sz w:val="23"/>
          <w:szCs w:val="23"/>
          <w:highlight w:val="white"/>
          <w:rtl w:val="0"/>
        </w:rPr>
        <w:t xml:space="preserve">Article 14 of the EU AI Act requires that high-risk AI systems enable effective human oversight and prevent over-reliance. When AI-generated cognitive scores function as de facto decision authority rather than advisory information, this requirement is weakened.</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jc w:val="both"/>
        <w:rPr>
          <w:b w:val="1"/>
          <w:bCs w:val="1"/>
          <w:sz w:val="24"/>
          <w:szCs w:val="24"/>
        </w:rPr>
      </w:pPr>
      <w:r w:rsidDel="00000000" w:rsidR="00000000" w:rsidRPr="00000000">
        <w:rPr>
          <w:rtl w:val="0"/>
        </w:rPr>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jc w:val="both"/>
        <w:rPr>
          <w:b w:val="1"/>
          <w:bCs w:val="1"/>
          <w:sz w:val="24"/>
          <w:szCs w:val="24"/>
        </w:rPr>
      </w:pPr>
      <w:r w:rsidDel="00000000" w:rsidR="00000000" w:rsidRPr="00000000">
        <w:rPr>
          <w:rtl w:val="0"/>
        </w:rPr>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jc w:val="both"/>
        <w:rPr>
          <w:sz w:val="24"/>
          <w:szCs w:val="24"/>
        </w:rPr>
      </w:pPr>
      <w:r w:rsidDel="00000000" w:rsidR="00000000" w:rsidRPr="00000000">
        <w:rPr>
          <w:b w:val="1"/>
          <w:bCs w:val="1"/>
          <w:sz w:val="24"/>
          <w:szCs w:val="24"/>
          <w:rtl w:val="0"/>
        </w:rPr>
        <w:t xml:space="preserve">Risk 4: </w:t>
      </w:r>
      <w:r w:rsidDel="00000000" w:rsidR="00000000" w:rsidRPr="00000000">
        <w:rPr>
          <w:rFonts w:ascii="Roboto" w:cs="Roboto" w:eastAsia="Roboto" w:hAnsi="Roboto"/>
          <w:b w:val="1"/>
          <w:bCs w:val="1"/>
          <w:color w:val="000018"/>
          <w:sz w:val="23"/>
          <w:szCs w:val="23"/>
          <w:highlight w:val="white"/>
          <w:rtl w:val="0"/>
        </w:rPr>
        <w:t xml:space="preserve">Interpretive Opacity and Persistent Cognitive Labeling (Transparency Risk)</w:t>
      </w:r>
      <w:r w:rsidDel="00000000" w:rsidR="00000000" w:rsidRPr="00000000">
        <w:rPr>
          <w:sz w:val="24"/>
          <w:szCs w:val="24"/>
          <w:rtl w:val="0"/>
        </w:rPr>
        <w:t xml:space="preserve"> </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fffff" w:val="clear"/>
        <w:jc w:val="both"/>
        <w:rPr>
          <w:b w:val="1"/>
          <w:bCs w:val="1"/>
          <w:sz w:val="24"/>
          <w:szCs w:val="24"/>
        </w:rPr>
      </w:pPr>
      <w:r w:rsidDel="00000000" w:rsidR="00000000" w:rsidRPr="00000000">
        <w:rPr>
          <w:rtl w:val="0"/>
        </w:rPr>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fffff" w:val="clear"/>
        <w:jc w:val="both"/>
        <w:rPr>
          <w:rFonts w:ascii="Roboto" w:cs="Roboto" w:eastAsia="Roboto" w:hAnsi="Roboto"/>
          <w:color w:val="000018"/>
          <w:sz w:val="23"/>
          <w:szCs w:val="23"/>
          <w:highlight w:val="white"/>
        </w:rPr>
      </w:pPr>
      <w:r w:rsidDel="00000000" w:rsidR="00000000" w:rsidRPr="00000000">
        <w:rPr>
          <w:rFonts w:ascii="Roboto" w:cs="Roboto" w:eastAsia="Roboto" w:hAnsi="Roboto"/>
          <w:color w:val="000018"/>
          <w:sz w:val="23"/>
          <w:szCs w:val="23"/>
          <w:highlight w:val="white"/>
          <w:rtl w:val="0"/>
        </w:rPr>
        <w:t xml:space="preserve">The cognitive risk indicators generated by the system are derived from complex behavioural features processed through machine-learning models. To parents and educators, these outputs may appear as clear numerical evaluations, even though the underlying reasoning and feature relationships are not easily interpretable. Without meaningful explanation of how scores are produced or what factors influenced them, stakeholders may struggle to understand or challenge assessments.</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ffffff" w:val="clear"/>
        <w:jc w:val="both"/>
        <w:rPr>
          <w:sz w:val="24"/>
          <w:szCs w:val="24"/>
        </w:rPr>
      </w:pPr>
      <w:r w:rsidDel="00000000" w:rsidR="00000000" w:rsidRPr="00000000">
        <w:rPr>
          <w:rtl w:val="0"/>
        </w:rPr>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ffffff" w:val="clear"/>
        <w:jc w:val="both"/>
        <w:rPr>
          <w:rFonts w:ascii="Roboto" w:cs="Roboto" w:eastAsia="Roboto" w:hAnsi="Roboto"/>
          <w:color w:val="000018"/>
          <w:sz w:val="23"/>
          <w:szCs w:val="23"/>
          <w:highlight w:val="white"/>
        </w:rPr>
      </w:pPr>
      <w:r w:rsidDel="00000000" w:rsidR="00000000" w:rsidRPr="00000000">
        <w:rPr>
          <w:rFonts w:ascii="Roboto" w:cs="Roboto" w:eastAsia="Roboto" w:hAnsi="Roboto"/>
          <w:color w:val="000018"/>
          <w:sz w:val="23"/>
          <w:szCs w:val="23"/>
          <w:highlight w:val="white"/>
          <w:rtl w:val="0"/>
        </w:rPr>
        <w:t xml:space="preserve">This lack of transparency may result in persistent cognitive labeling. Composite scores and percentile rankings may be interpreted as diagnostic conclusions rather than probabilistic screening indicators. Children may therefore acquire “at-risk” labels without transparent justification, and such labels may influence expectations, referrals, or support decisions over time. Because children cannot advocate for themselves, opacity amplifies the impact of potential misclassification.</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ffffff" w:val="clear"/>
        <w:jc w:val="both"/>
        <w:rPr>
          <w:sz w:val="24"/>
          <w:szCs w:val="24"/>
        </w:rPr>
      </w:pPr>
      <w:r w:rsidDel="00000000" w:rsidR="00000000" w:rsidRPr="00000000">
        <w:rPr>
          <w:rtl w:val="0"/>
        </w:rPr>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hd w:fill="ffffff" w:val="clear"/>
        <w:jc w:val="both"/>
        <w:rPr>
          <w:rFonts w:ascii="Roboto" w:cs="Roboto" w:eastAsia="Roboto" w:hAnsi="Roboto"/>
          <w:color w:val="000018"/>
          <w:sz w:val="23"/>
          <w:szCs w:val="23"/>
          <w:highlight w:val="white"/>
        </w:rPr>
      </w:pPr>
      <w:r w:rsidDel="00000000" w:rsidR="00000000" w:rsidRPr="00000000">
        <w:rPr>
          <w:rFonts w:ascii="Roboto" w:cs="Roboto" w:eastAsia="Roboto" w:hAnsi="Roboto"/>
          <w:color w:val="000018"/>
          <w:sz w:val="23"/>
          <w:szCs w:val="23"/>
          <w:highlight w:val="white"/>
          <w:rtl w:val="0"/>
        </w:rPr>
        <w:t xml:space="preserve">Article 13 of the EU AI Act requires that users of high-risk AI systems can understand and appropriately interpret outputs. Limited interpretability in child cognitive assessment contexts therefore creates both transparency and fairness concerns.</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fffff" w:val="clear"/>
        <w:jc w:val="both"/>
        <w:rPr>
          <w:b w:val="1"/>
          <w:bCs w:val="1"/>
          <w:sz w:val="24"/>
          <w:szCs w:val="24"/>
        </w:rPr>
      </w:pPr>
      <w:r w:rsidDel="00000000" w:rsidR="00000000" w:rsidRPr="00000000">
        <w:rPr>
          <w:rtl w:val="0"/>
        </w:rPr>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ffffff" w:val="clear"/>
        <w:spacing w:after="80" w:before="160" w:lineRule="auto"/>
        <w:jc w:val="both"/>
        <w:rPr>
          <w:color w:val="0f4761"/>
          <w:sz w:val="32"/>
          <w:szCs w:val="32"/>
        </w:rPr>
      </w:pPr>
      <w:r w:rsidDel="00000000" w:rsidR="00000000" w:rsidRPr="00000000">
        <w:rPr>
          <w:color w:val="0f4761"/>
          <w:sz w:val="32"/>
          <w:szCs w:val="32"/>
          <w:rtl w:val="0"/>
        </w:rPr>
        <w:t xml:space="preserve">2.2 Lifecycle and Intersectional Analysis </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hd w:fill="ffffff" w:val="clear"/>
        <w:jc w:val="both"/>
        <w:rPr>
          <w:sz w:val="24"/>
          <w:szCs w:val="24"/>
        </w:rPr>
      </w:pPr>
      <w:r w:rsidDel="00000000" w:rsidR="00000000" w:rsidRPr="00000000">
        <w:rPr>
          <w:rtl w:val="0"/>
        </w:rPr>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ffffff" w:val="clear"/>
        <w:rPr>
          <w:rFonts w:ascii="Roboto" w:cs="Roboto" w:eastAsia="Roboto" w:hAnsi="Roboto"/>
          <w:color w:val="000018"/>
          <w:sz w:val="23"/>
          <w:szCs w:val="23"/>
          <w:highlight w:val="white"/>
        </w:rPr>
      </w:pPr>
      <w:r w:rsidDel="00000000" w:rsidR="00000000" w:rsidRPr="00000000">
        <w:rPr>
          <w:rFonts w:ascii="Roboto" w:cs="Roboto" w:eastAsia="Roboto" w:hAnsi="Roboto"/>
          <w:color w:val="000018"/>
          <w:sz w:val="23"/>
          <w:szCs w:val="23"/>
          <w:highlight w:val="white"/>
          <w:rtl w:val="0"/>
        </w:rPr>
        <w:t xml:space="preserve">The identified risks emerge at different stages of the AI system lifecycle and may reinforce one another. During the design phase, non-representative developmental datasets and sensitivity of VR-based measurement to contextual factors may embed bias and noise into the model. During deployment, standardized scores and structured reports may acquire perceived objectivity, encouraging reliance by educators and clinicians. During operational use, repeated application may normalize AI-generated classifications, allowing minor inaccuracies or biases to influence educational pathways over time.</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hd w:fill="ffffff" w:val="clear"/>
        <w:rPr>
          <w:sz w:val="24"/>
          <w:szCs w:val="24"/>
        </w:rPr>
      </w:pPr>
      <w:r w:rsidDel="00000000" w:rsidR="00000000" w:rsidRPr="00000000">
        <w:rPr>
          <w:rtl w:val="0"/>
        </w:rPr>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hd w:fill="ffffff" w:val="clear"/>
        <w:rPr>
          <w:rFonts w:ascii="Roboto" w:cs="Roboto" w:eastAsia="Roboto" w:hAnsi="Roboto"/>
          <w:color w:val="000018"/>
          <w:sz w:val="23"/>
          <w:szCs w:val="23"/>
          <w:highlight w:val="white"/>
        </w:rPr>
      </w:pPr>
      <w:r w:rsidDel="00000000" w:rsidR="00000000" w:rsidRPr="00000000">
        <w:rPr>
          <w:rFonts w:ascii="Roboto" w:cs="Roboto" w:eastAsia="Roboto" w:hAnsi="Roboto"/>
          <w:color w:val="000018"/>
          <w:sz w:val="23"/>
          <w:szCs w:val="23"/>
          <w:highlight w:val="white"/>
          <w:rtl w:val="0"/>
        </w:rPr>
        <w:t xml:space="preserve">These risks are also interconnected. Dataset bias combined with limited transparency may produce outcomes that cannot be meaningfully contested. Measurement variability combined with professional over-reliance may allow noisy outputs to be treated as authoritative judgments. In child assessment contexts, such interactions can amplify harm because developmental labeling may have long-term educational consequences.</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hd w:fill="ffffff" w:val="clear"/>
        <w:rPr>
          <w:sz w:val="24"/>
          <w:szCs w:val="24"/>
        </w:rPr>
      </w:pPr>
      <w:r w:rsidDel="00000000" w:rsidR="00000000" w:rsidRPr="00000000">
        <w:rPr>
          <w:rtl w:val="0"/>
        </w:rPr>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hd w:fill="ffffff" w:val="clear"/>
        <w:rPr>
          <w:rFonts w:ascii="Roboto" w:cs="Roboto" w:eastAsia="Roboto" w:hAnsi="Roboto"/>
          <w:color w:val="000018"/>
          <w:sz w:val="23"/>
          <w:szCs w:val="23"/>
          <w:highlight w:val="white"/>
        </w:rPr>
      </w:pPr>
      <w:r w:rsidDel="00000000" w:rsidR="00000000" w:rsidRPr="00000000">
        <w:rPr>
          <w:rFonts w:ascii="Roboto" w:cs="Roboto" w:eastAsia="Roboto" w:hAnsi="Roboto"/>
          <w:color w:val="000018"/>
          <w:sz w:val="23"/>
          <w:szCs w:val="23"/>
          <w:highlight w:val="white"/>
          <w:rtl w:val="0"/>
        </w:rPr>
        <w:t xml:space="preserve">Because the system affects minors during formative stages of development, the interaction between data governance limitations, measurement uncertainty, interpretability gaps, and human decision-making creates elevated ethical and regulatory concern within the EU AI Act framework.</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hd w:fill="ffffff" w:val="clear"/>
        <w:rPr>
          <w:sz w:val="24"/>
          <w:szCs w:val="24"/>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