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9374B"/>
          <w:sz w:val="56"/>
        </w:rPr>
        <w:t>CUSTOMER JOURNEY MAP</w:t>
      </w:r>
    </w:p>
    <w:p>
      <w:pPr>
        <w:jc w:val="center"/>
      </w:pPr>
      <w:r>
        <w:rPr>
          <w:b/>
          <w:color w:val="325A6E"/>
          <w:sz w:val="36"/>
        </w:rPr>
        <w:t>Medical Diagnosis Center by Service Portal</w:t>
      </w:r>
    </w:p>
    <w:p>
      <w:pPr>
        <w:jc w:val="center"/>
      </w:pPr>
      <w:r>
        <w:rPr>
          <w:sz w:val="22"/>
        </w:rPr>
        <w:t>ServiceNow | Patient Diagnostic Service Journey | 06 October 2026</w:t>
      </w:r>
    </w:p>
    <w:p>
      <w:pPr>
        <w:spacing w:before="500"/>
        <w:jc w:val="center"/>
      </w:pPr>
      <w:r>
        <w:rPr>
          <w:b/>
        </w:rPr>
        <w:t>Purpose</w:t>
      </w:r>
    </w:p>
    <w:p>
      <w:pPr>
        <w:jc w:val="center"/>
      </w:pPr>
      <w:r>
        <w:t>This document maps the complete patient journey from identifying a diagnostic need through service discovery, booking, validation, fulfilment, report communication, acceptance, production launch and continuous improvement.</w:t>
      </w:r>
    </w:p>
    <w:p>
      <w:r>
        <w:br w:type="page"/>
      </w:r>
    </w:p>
    <w:p>
      <w:r>
        <w:rPr>
          <w:b/>
          <w:color w:val="19374B"/>
          <w:sz w:val="40"/>
        </w:rPr>
        <w:t>1. JOURNEY FRAMEWORK</w:t>
      </w:r>
    </w:p>
    <w:p>
      <w:r>
        <w:t>The structure follows the uploaded reference journey map: Entice, Enter, Engage, Exit and Extend, with the supporting dimensions of Steps / Experience, Interactions, Goals &amp; Motivations, Positive Moments, Negative Moments and Areas of Opportunity.</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vAlign w:val="top"/>
            <w:shd w:fill="DCEAF3"/>
          </w:tcPr>
          <w:p>
            <w:pPr>
              <w:spacing w:after="40"/>
            </w:pPr>
            <w:r>
              <w:rPr>
                <w:color w:val="19374B"/>
              </w:rPr>
            </w:r>
            <w:r>
              <w:rPr>
                <w:rFonts w:ascii="Aptos" w:hAnsi="Aptos"/>
                <w:b/>
                <w:color w:val="FFFFFF"/>
                <w:sz w:val="22"/>
              </w:rPr>
              <w:t>ENTICE</w:t>
            </w:r>
          </w:p>
          <w:p>
            <w:pPr>
              <w:jc w:val="center"/>
            </w:pPr>
            <w:r>
              <w:rPr>
                <w:sz w:val="16"/>
              </w:rPr>
              <w:t>Become aware of the need</w:t>
            </w:r>
          </w:p>
          <w:p>
            <w:pPr>
              <w:jc w:val="center"/>
            </w:pPr>
            <w:r>
              <w:rPr>
                <w:b/>
                <w:sz w:val="16"/>
              </w:rPr>
              <w:t>Stage 1</w:t>
            </w:r>
          </w:p>
        </w:tc>
        <w:tc>
          <w:tcPr>
            <w:tcW w:type="dxa" w:w="2045"/>
            <w:vAlign w:val="top"/>
            <w:shd w:fill="E5F1DF"/>
          </w:tcPr>
          <w:p>
            <w:pPr>
              <w:spacing w:after="40"/>
            </w:pPr>
            <w:r>
              <w:rPr>
                <w:color w:val="19374B"/>
              </w:rPr>
            </w:r>
            <w:r>
              <w:rPr>
                <w:rFonts w:ascii="Aptos" w:hAnsi="Aptos"/>
                <w:b/>
                <w:color w:val="FFFFFF"/>
                <w:sz w:val="22"/>
              </w:rPr>
              <w:t>ENTER</w:t>
            </w:r>
          </w:p>
          <w:p>
            <w:pPr>
              <w:jc w:val="center"/>
            </w:pPr>
            <w:r>
              <w:rPr>
                <w:sz w:val="16"/>
              </w:rPr>
              <w:t>Find and configure the service</w:t>
            </w:r>
          </w:p>
          <w:p>
            <w:pPr>
              <w:jc w:val="center"/>
            </w:pPr>
            <w:r>
              <w:rPr>
                <w:b/>
                <w:sz w:val="16"/>
              </w:rPr>
              <w:t>Stages 2–3</w:t>
            </w:r>
          </w:p>
        </w:tc>
        <w:tc>
          <w:tcPr>
            <w:tcW w:type="dxa" w:w="2045"/>
            <w:vAlign w:val="top"/>
            <w:shd w:fill="F8EBCB"/>
          </w:tcPr>
          <w:p>
            <w:pPr>
              <w:spacing w:after="40"/>
            </w:pPr>
            <w:r>
              <w:rPr>
                <w:color w:val="19374B"/>
              </w:rPr>
            </w:r>
            <w:r>
              <w:rPr>
                <w:rFonts w:ascii="Aptos" w:hAnsi="Aptos"/>
                <w:b/>
                <w:color w:val="FFFFFF"/>
                <w:sz w:val="22"/>
              </w:rPr>
              <w:t>ENGAGE</w:t>
            </w:r>
          </w:p>
          <w:p>
            <w:pPr>
              <w:jc w:val="center"/>
            </w:pPr>
            <w:r>
              <w:rPr>
                <w:sz w:val="16"/>
              </w:rPr>
              <w:t>Submit, approve, fulfil and communicate</w:t>
            </w:r>
          </w:p>
          <w:p>
            <w:pPr>
              <w:jc w:val="center"/>
            </w:pPr>
            <w:r>
              <w:rPr>
                <w:b/>
                <w:sz w:val="16"/>
              </w:rPr>
              <w:t>Stages 4–7</w:t>
            </w:r>
          </w:p>
        </w:tc>
        <w:tc>
          <w:tcPr>
            <w:tcW w:type="dxa" w:w="2045"/>
            <w:vAlign w:val="top"/>
            <w:shd w:fill="F8DDD5"/>
          </w:tcPr>
          <w:p>
            <w:pPr>
              <w:spacing w:after="40"/>
            </w:pPr>
            <w:r>
              <w:rPr>
                <w:color w:val="19374B"/>
              </w:rPr>
            </w:r>
            <w:r>
              <w:rPr>
                <w:rFonts w:ascii="Aptos" w:hAnsi="Aptos"/>
                <w:b/>
                <w:color w:val="FFFFFF"/>
                <w:sz w:val="22"/>
              </w:rPr>
              <w:t>EXIT</w:t>
            </w:r>
          </w:p>
          <w:p>
            <w:pPr>
              <w:jc w:val="center"/>
            </w:pPr>
            <w:r>
              <w:rPr>
                <w:sz w:val="16"/>
              </w:rPr>
              <w:t>Validate and gain acceptance</w:t>
            </w:r>
          </w:p>
          <w:p>
            <w:pPr>
              <w:jc w:val="center"/>
            </w:pPr>
            <w:r>
              <w:rPr>
                <w:b/>
                <w:sz w:val="16"/>
              </w:rPr>
              <w:t>Stages 8–9</w:t>
            </w:r>
          </w:p>
        </w:tc>
        <w:tc>
          <w:tcPr>
            <w:tcW w:type="dxa" w:w="2045"/>
            <w:vAlign w:val="top"/>
            <w:shd w:fill="E8E3F1"/>
          </w:tcPr>
          <w:p>
            <w:pPr>
              <w:spacing w:after="40"/>
            </w:pPr>
            <w:r>
              <w:rPr>
                <w:color w:val="19374B"/>
              </w:rPr>
            </w:r>
            <w:r>
              <w:rPr>
                <w:rFonts w:ascii="Aptos" w:hAnsi="Aptos"/>
                <w:b/>
                <w:color w:val="FFFFFF"/>
                <w:sz w:val="22"/>
              </w:rPr>
              <w:t>EXTEND</w:t>
            </w:r>
          </w:p>
          <w:p>
            <w:pPr>
              <w:jc w:val="center"/>
            </w:pPr>
            <w:r>
              <w:rPr>
                <w:sz w:val="16"/>
              </w:rPr>
              <w:t>Launch, monitor and improve</w:t>
            </w:r>
          </w:p>
          <w:p>
            <w:pPr>
              <w:jc w:val="center"/>
            </w:pPr>
            <w:r>
              <w:rPr>
                <w:b/>
                <w:sz w:val="16"/>
              </w:rPr>
              <w:t>Stages 10–11</w:t>
            </w:r>
          </w:p>
        </w:tc>
      </w:tr>
    </w:tbl>
    <w:p/>
    <w:p>
      <w:r>
        <w:rPr>
          <w:b/>
          <w:sz w:val="28"/>
        </w:rPr>
        <w:t>Journey sequence</w:t>
      </w:r>
    </w:p>
    <w:p>
      <w:pPr>
        <w:jc w:val="center"/>
      </w:pPr>
      <w:r>
        <w:rPr>
          <w:sz w:val="18"/>
        </w:rPr>
        <w:t>1. Need Identified → 2. Service Discovery → 3. Test &amp; Appointment Configuration → 4. Submit &amp; Validate → 5. Approval &amp; Governance → 6. Test Fulfilment → 7. Notifications &amp; Status → 8. Testing &amp; Validation → 9. UAT &amp; Acceptance → 10. Production Launch → 11. Monitor, Support &amp; Improve</w:t>
      </w:r>
    </w:p>
    <w:p>
      <w:r>
        <w:rPr>
          <w:b/>
        </w:rPr>
        <w:t xml:space="preserve">Design principle: </w:t>
      </w:r>
      <w:r>
        <w:t>Each patient-facing moment is connected to a ServiceNow behaviour, an owner/handoff, a success signal and an improvement opportunity.</w:t>
      </w:r>
    </w:p>
    <w:p>
      <w:r>
        <w:br w:type="page"/>
      </w:r>
    </w:p>
    <w:p>
      <w:r>
        <w:rPr>
          <w:b/>
          <w:color w:val="19374B"/>
          <w:sz w:val="30"/>
        </w:rPr>
        <w:t>1. Need Identified   |   ENTICE</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A patient identifies the need for a diagnostic test, appointment, follow-up, or report.</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Service Portal / browser</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caregiver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Recognizes a clear healthcare need and knows where to start.</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Clear entry point for diagnostic services.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Patient is unsure which service or test is required.</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a clear portal entry point and simple diagnostic service categories.</w:t>
            </w:r>
          </w:p>
        </w:tc>
      </w:tr>
    </w:tbl>
    <w:p>
      <w:pPr>
        <w:spacing w:after="20"/>
      </w:pPr>
    </w:p>
    <w:p>
      <w:r>
        <w:rPr>
          <w:b/>
          <w:color w:val="19374B"/>
          <w:sz w:val="30"/>
        </w:rPr>
        <w:t>2. Service Discovery   |   ENTER</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patient enters the Service Portal and explores available diagnostic services.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Service Catalog / search / categories</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service coordinator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Finds the correct diagnostic test or service quickly.</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Relevant test categories and concise descriptions.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Too many choices or unclear categories can cause wrong selection.</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search, filters and categories such as Pathology, Radiology and Cardiology.</w:t>
            </w:r>
          </w:p>
        </w:tc>
      </w:tr>
    </w:tbl>
    <w:p>
      <w:pPr>
        <w:spacing w:after="20"/>
      </w:pPr>
    </w:p>
    <w:p>
      <w:r>
        <w:rPr>
          <w:b/>
          <w:color w:val="19374B"/>
          <w:sz w:val="30"/>
        </w:rPr>
        <w:t>3. Test &amp; Appointment Configuration   |   ENTER</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patient selects the test, appointment date, time slot and required details.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Catalog item / variables / dynamic fields</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receptionist</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Provides complete booking information with minimal effort.</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Simple, guided booking form.</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Long forms, unclear fields or missing guidance create rework.</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dynamic fields, mandatory validation and prescription upload where applicable.</w:t>
            </w:r>
          </w:p>
        </w:tc>
      </w:tr>
    </w:tbl>
    <w:p>
      <w:pPr>
        <w:spacing w:after="20"/>
      </w:pPr>
    </w:p>
    <w:p>
      <w:r>
        <w:br w:type="page"/>
      </w:r>
    </w:p>
    <w:p>
      <w:r>
        <w:rPr>
          <w:b/>
          <w:color w:val="19374B"/>
          <w:sz w:val="30"/>
        </w:rPr>
        <w:t>4. Submit &amp; Validate   |   ENGAGE</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patient reviews and submits the request; the platform validates data and slot availability.</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Validation rules / booking record / platform</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platform automation</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Creates a valid booking without duplicate or conflicting appointments.</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Immediate confirmation with appointment/reference details.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Incomplete data or unavailable slots can delay booking.</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Implement real-time slot validation, duplicate prevention, capacity limits and booking rules.</w:t>
            </w:r>
          </w:p>
        </w:tc>
      </w:tr>
    </w:tbl>
    <w:p>
      <w:pPr>
        <w:spacing w:after="20"/>
      </w:pPr>
    </w:p>
    <w:p>
      <w:r>
        <w:rPr>
          <w:b/>
          <w:color w:val="19374B"/>
          <w:sz w:val="30"/>
        </w:rPr>
        <w:t>5. Approval &amp; Governance   |   ENGAGE</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Special or high-value diagnostic tests are routed for approval when required.</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Flow Designer / approval record / audit</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Lab manager / administrator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Approval decision is clear, traceable and auditable.</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Approval ownership is clear and traceable.</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Approval ambiguity or missed notifications can delay specialized tests.</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Define approval rules, escalation and audit history.</w:t>
            </w:r>
          </w:p>
        </w:tc>
      </w:tr>
    </w:tbl>
    <w:p>
      <w:pPr>
        <w:spacing w:after="20"/>
      </w:pPr>
    </w:p>
    <w:p>
      <w:r>
        <w:rPr>
          <w:b/>
          <w:color w:val="19374B"/>
          <w:sz w:val="30"/>
        </w:rPr>
        <w:t>6. Test Fulfilment   |   ENGAGE</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Confirmed bookings are converted into actionable tasks for reception, sample collection, radiology or laboratory teams.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Fulfilment task / assignment / patient context</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Lab technician / diagnostic team</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Test task is completed with clear ownership and complete patient context.</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Lab team receives complete, actionable test information.</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Manual handoffs or incomplete information can cause rework.</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Automate task creation and assignment using Flow Designer.</w:t>
            </w:r>
          </w:p>
        </w:tc>
      </w:tr>
    </w:tbl>
    <w:p>
      <w:pPr>
        <w:spacing w:after="20"/>
      </w:pPr>
    </w:p>
    <w:p>
      <w:r>
        <w:br w:type="page"/>
      </w:r>
    </w:p>
    <w:p>
      <w:r>
        <w:rPr>
          <w:b/>
          <w:color w:val="19374B"/>
          <w:sz w:val="30"/>
        </w:rPr>
        <w:t>7. Notifications &amp; Status   |   ENGAGE</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patient receives appointment, sample, processing and report-status updates.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Email / portal status / request timeline</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 lab team / support</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Patient can understand progress without repeatedly contacting the center.</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Patient can track progress without repeated calls.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Silence or technical messages increase patient uncertainty.</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clear lifecycle statuses and event-based notifications.</w:t>
            </w:r>
          </w:p>
        </w:tc>
      </w:tr>
    </w:tbl>
    <w:p>
      <w:pPr>
        <w:spacing w:after="20"/>
      </w:pPr>
    </w:p>
    <w:p>
      <w:r>
        <w:rPr>
          <w:b/>
          <w:color w:val="19374B"/>
          <w:sz w:val="30"/>
        </w:rPr>
        <w:t>8. Testing &amp; Validation   |   EXIT</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configured journey is tested before release or after major changes.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Test scripts / logs / test records</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Developer / tester / service owner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Critical booking, workflow, notification and access paths pass testing.</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Defects are found before patient-facing release.</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Uncovered edge cases can cause failures after release.</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Test normal, negative, cancellation, rescheduling, duplicate and access scenarios.</w:t>
            </w:r>
          </w:p>
        </w:tc>
      </w:tr>
    </w:tbl>
    <w:p>
      <w:pPr>
        <w:spacing w:after="20"/>
      </w:pPr>
    </w:p>
    <w:p>
      <w:r>
        <w:rPr>
          <w:b/>
          <w:color w:val="19374B"/>
          <w:sz w:val="30"/>
        </w:rPr>
        <w:t>9. UAT &amp; Acceptance   |   EXIT</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Healthcare and operational stakeholders validate the complete experience against realistic scenarios.</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UAT scenarios / evidence / acceptance record</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Patient representatives / lab staff / admin</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Acceptance criteria are satisfied before production.</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Stakeholders validate realistic healthcare scenarios.</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Late feedback or unclear acceptance criteria can extend delivery.</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representative patient, booking, report and approval scenarios.</w:t>
            </w:r>
          </w:p>
        </w:tc>
      </w:tr>
    </w:tbl>
    <w:p>
      <w:pPr>
        <w:spacing w:after="20"/>
      </w:pPr>
    </w:p>
    <w:p>
      <w:r>
        <w:br w:type="page"/>
      </w:r>
    </w:p>
    <w:p>
      <w:r>
        <w:rPr>
          <w:b/>
          <w:color w:val="19374B"/>
          <w:sz w:val="30"/>
        </w:rPr>
        <w:t>10. Production Launch   |   EXTEND</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Approved configuration is migrated to production and production behaviour is verified.</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Deployment checklist / Update Set / training</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System administrator / release owner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Production validation succeeds with controlled release.</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Launch is controlled and prepared.</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Configuration gaps or unprepared teams can create launch friction.</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Use controlled migration, smoke testing, training and rollback/support planning.</w:t>
            </w:r>
          </w:p>
        </w:tc>
      </w:tr>
    </w:tbl>
    <w:p>
      <w:pPr>
        <w:spacing w:after="20"/>
      </w:pPr>
    </w:p>
    <w:p>
      <w:r>
        <w:rPr>
          <w:b/>
          <w:color w:val="19374B"/>
          <w:sz w:val="30"/>
        </w:rPr>
        <w:t>11. Monitor, Support &amp; Improve   |   EXTEND</w:t>
      </w:r>
    </w:p>
    <w:tbl>
      <w:tblPr>
        <w:tblStyle w:val="TableGrid"/>
        <w:tblW w:type="auto" w:w="0"/>
        <w:jc w:val="center"/>
        <w:tblLook w:firstColumn="1" w:firstRow="1" w:lastColumn="0" w:lastRow="0" w:noHBand="0" w:noVBand="1" w:val="04A0"/>
      </w:tblPr>
      <w:tblGrid>
        <w:gridCol w:w="5112"/>
        <w:gridCol w:w="5112"/>
      </w:tblGrid>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r>
        <w:tc>
          <w:tcPr>
            <w:tcW w:type="dxa" w:w="5112"/>
          </w:tcPr>
          <w:p/>
        </w:tc>
        <w:tc>
          <w:tcPr>
            <w:tcW w:type="dxa" w:w="5112"/>
          </w:tcPr>
          <w:p/>
        </w:tc>
      </w:tr>
    </w:tbl>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6"/>
              </w:rPr>
              <w:t>STEPS / EXPERIENCE</w:t>
            </w:r>
          </w:p>
        </w:tc>
        <w:tc>
          <w:tcPr>
            <w:tcW w:type="dxa" w:w="5112"/>
            <w:vAlign w:val="top"/>
          </w:tcPr>
          <w:p>
            <w:pPr>
              <w:spacing w:after="40"/>
            </w:pPr>
            <w:r/>
            <w:r>
              <w:rPr>
                <w:rFonts w:ascii="Aptos" w:hAnsi="Aptos"/>
                <w:b w:val="0"/>
                <w:sz w:val="18"/>
              </w:rPr>
              <w:t>The live service is monitored and feedback is converted into continuous improvement.</w:t>
            </w:r>
          </w:p>
        </w:tc>
      </w:tr>
      <w:tr>
        <w:tc>
          <w:tcPr>
            <w:tcW w:type="dxa" w:w="5112"/>
            <w:vAlign w:val="top"/>
            <w:shd w:fill="EEF1F4"/>
          </w:tcPr>
          <w:p>
            <w:pPr>
              <w:spacing w:after="40"/>
            </w:pPr>
            <w:r/>
            <w:r>
              <w:rPr>
                <w:rFonts w:ascii="Aptos" w:hAnsi="Aptos"/>
                <w:b/>
                <w:color w:val="19374B"/>
                <w:sz w:val="16"/>
              </w:rPr>
              <w:t>INTERACTIONS</w:t>
            </w:r>
          </w:p>
        </w:tc>
        <w:tc>
          <w:tcPr>
            <w:tcW w:type="dxa" w:w="5112"/>
            <w:vAlign w:val="top"/>
          </w:tcPr>
          <w:p>
            <w:pPr>
              <w:spacing w:after="40"/>
            </w:pPr>
            <w:r/>
            <w:r>
              <w:rPr>
                <w:rFonts w:ascii="Aptos" w:hAnsi="Aptos"/>
                <w:b w:val="0"/>
                <w:sz w:val="18"/>
              </w:rPr>
              <w:t>Dashboards / metrics / audit / feedback</w:t>
            </w:r>
          </w:p>
        </w:tc>
      </w:tr>
      <w:tr>
        <w:tc>
          <w:tcPr>
            <w:tcW w:type="dxa" w:w="5112"/>
            <w:vAlign w:val="top"/>
            <w:shd w:fill="EEF1F4"/>
          </w:tcPr>
          <w:p>
            <w:pPr>
              <w:spacing w:after="40"/>
            </w:pPr>
            <w:r/>
            <w:r>
              <w:rPr>
                <w:rFonts w:ascii="Aptos" w:hAnsi="Aptos"/>
                <w:b/>
                <w:color w:val="19374B"/>
                <w:sz w:val="16"/>
              </w:rPr>
              <w:t>PRIMARY OWNER / HANDOFF</w:t>
            </w:r>
          </w:p>
        </w:tc>
        <w:tc>
          <w:tcPr>
            <w:tcW w:type="dxa" w:w="5112"/>
            <w:vAlign w:val="top"/>
          </w:tcPr>
          <w:p>
            <w:pPr>
              <w:spacing w:after="40"/>
            </w:pPr>
            <w:r/>
            <w:r>
              <w:rPr>
                <w:rFonts w:ascii="Aptos" w:hAnsi="Aptos"/>
                <w:b w:val="0"/>
                <w:sz w:val="18"/>
              </w:rPr>
              <w:t>Support / administrator / service owner</w:t>
            </w:r>
          </w:p>
        </w:tc>
      </w:tr>
      <w:tr>
        <w:tc>
          <w:tcPr>
            <w:tcW w:type="dxa" w:w="5112"/>
            <w:vAlign w:val="top"/>
            <w:shd w:fill="EEF1F4"/>
          </w:tcPr>
          <w:p>
            <w:pPr>
              <w:spacing w:after="40"/>
            </w:pPr>
            <w:r/>
            <w:r>
              <w:rPr>
                <w:rFonts w:ascii="Aptos" w:hAnsi="Aptos"/>
                <w:b/>
                <w:color w:val="19374B"/>
                <w:sz w:val="16"/>
              </w:rPr>
              <w:t>GOALS &amp; MOTIVATIONS</w:t>
            </w:r>
          </w:p>
        </w:tc>
        <w:tc>
          <w:tcPr>
            <w:tcW w:type="dxa" w:w="5112"/>
            <w:vAlign w:val="top"/>
          </w:tcPr>
          <w:p>
            <w:pPr>
              <w:spacing w:after="40"/>
            </w:pPr>
            <w:r/>
            <w:r>
              <w:rPr>
                <w:rFonts w:ascii="Aptos" w:hAnsi="Aptos"/>
                <w:b w:val="0"/>
                <w:sz w:val="18"/>
              </w:rPr>
              <w:t>Operational trends and feedback drive measurable improvement.</w:t>
            </w:r>
          </w:p>
        </w:tc>
      </w:tr>
      <w:tr>
        <w:tc>
          <w:tcPr>
            <w:tcW w:type="dxa" w:w="5112"/>
            <w:vAlign w:val="top"/>
            <w:shd w:fill="EEF1F4"/>
          </w:tcPr>
          <w:p>
            <w:pPr>
              <w:spacing w:after="40"/>
            </w:pPr>
            <w:r/>
            <w:r>
              <w:rPr>
                <w:rFonts w:ascii="Aptos" w:hAnsi="Aptos"/>
                <w:b/>
                <w:color w:val="19374B"/>
                <w:sz w:val="16"/>
              </w:rPr>
              <w:t>POSITIVE MOMENT</w:t>
            </w:r>
          </w:p>
        </w:tc>
        <w:tc>
          <w:tcPr>
            <w:tcW w:type="dxa" w:w="5112"/>
            <w:vAlign w:val="top"/>
            <w:shd w:fill="E6F2DE"/>
          </w:tcPr>
          <w:p>
            <w:pPr>
              <w:spacing w:after="40"/>
            </w:pPr>
            <w:r/>
            <w:r>
              <w:rPr>
                <w:rFonts w:ascii="Aptos" w:hAnsi="Aptos"/>
                <w:b w:val="0"/>
                <w:sz w:val="18"/>
              </w:rPr>
              <w:t>Service becomes measurable and continuously improvable.</w:t>
            </w:r>
          </w:p>
        </w:tc>
      </w:tr>
      <w:tr>
        <w:tc>
          <w:tcPr>
            <w:tcW w:type="dxa" w:w="5112"/>
            <w:vAlign w:val="top"/>
            <w:shd w:fill="EEF1F4"/>
          </w:tcPr>
          <w:p>
            <w:pPr>
              <w:spacing w:after="40"/>
            </w:pPr>
            <w:r/>
            <w:r>
              <w:rPr>
                <w:rFonts w:ascii="Aptos" w:hAnsi="Aptos"/>
                <w:b/>
                <w:color w:val="19374B"/>
                <w:sz w:val="16"/>
              </w:rPr>
              <w:t>NEGATIVE MOMENT</w:t>
            </w:r>
          </w:p>
        </w:tc>
        <w:tc>
          <w:tcPr>
            <w:tcW w:type="dxa" w:w="5112"/>
            <w:vAlign w:val="top"/>
            <w:shd w:fill="F9E2E7"/>
          </w:tcPr>
          <w:p>
            <w:pPr>
              <w:spacing w:after="40"/>
            </w:pPr>
            <w:r/>
            <w:r>
              <w:rPr>
                <w:rFonts w:ascii="Aptos" w:hAnsi="Aptos"/>
                <w:b w:val="0"/>
                <w:sz w:val="18"/>
              </w:rPr>
              <w:t>Untracked defects, weak metrics or feedback gaps can hide recurring problems.</w:t>
            </w:r>
          </w:p>
        </w:tc>
      </w:tr>
      <w:tr>
        <w:tc>
          <w:tcPr>
            <w:tcW w:type="dxa" w:w="5112"/>
            <w:vAlign w:val="top"/>
            <w:shd w:fill="EEF1F4"/>
          </w:tcPr>
          <w:p>
            <w:pPr>
              <w:spacing w:after="40"/>
            </w:pPr>
            <w:r/>
            <w:r>
              <w:rPr>
                <w:rFonts w:ascii="Aptos" w:hAnsi="Aptos"/>
                <w:b/>
                <w:color w:val="19374B"/>
                <w:sz w:val="16"/>
              </w:rPr>
              <w:t>AREA OF OPPORTUNITY</w:t>
            </w:r>
          </w:p>
        </w:tc>
        <w:tc>
          <w:tcPr>
            <w:tcW w:type="dxa" w:w="5112"/>
            <w:vAlign w:val="top"/>
            <w:shd w:fill="FFF1C9"/>
          </w:tcPr>
          <w:p>
            <w:pPr>
              <w:spacing w:after="40"/>
            </w:pPr>
            <w:r/>
            <w:r>
              <w:rPr>
                <w:rFonts w:ascii="Aptos" w:hAnsi="Aptos"/>
                <w:b w:val="0"/>
                <w:sz w:val="18"/>
              </w:rPr>
              <w:t>Track bookings, demand, report turnaround time, cancellations, incidents and feedback.</w:t>
            </w:r>
          </w:p>
        </w:tc>
      </w:tr>
    </w:tbl>
    <w:p>
      <w:pPr>
        <w:spacing w:after="20"/>
      </w:pPr>
    </w:p>
    <w:p>
      <w:r>
        <w:br w:type="page"/>
      </w:r>
    </w:p>
    <w:p>
      <w:r>
        <w:rPr>
          <w:b/>
          <w:color w:val="19374B"/>
          <w:sz w:val="40"/>
        </w:rPr>
        <w:t>3. ENHANCED JOURNEY INTELLIGENCE</w:t>
      </w:r>
    </w:p>
    <w:p>
      <w:r>
        <w:t>This layer connects the patient journey to the backstage ServiceNow configuration, ownership and measurable success signals.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top"/>
            <w:shd w:fill="1F5D7A"/>
          </w:tcPr>
          <w:p>
            <w:pPr>
              <w:spacing w:after="40"/>
            </w:pPr>
            <w:r/>
            <w:r>
              <w:rPr>
                <w:rFonts w:ascii="Aptos" w:hAnsi="Aptos"/>
                <w:b/>
                <w:color w:val="FFFFFF"/>
                <w:sz w:val="16"/>
              </w:rPr>
              <w:t>JOURNEY STAGE</w:t>
            </w:r>
          </w:p>
        </w:tc>
        <w:tc>
          <w:tcPr>
            <w:tcW w:type="dxa" w:w="2556"/>
            <w:vAlign w:val="top"/>
            <w:shd w:fill="1F5D7A"/>
          </w:tcPr>
          <w:p>
            <w:pPr>
              <w:spacing w:after="40"/>
            </w:pPr>
            <w:r/>
            <w:r>
              <w:rPr>
                <w:rFonts w:ascii="Aptos" w:hAnsi="Aptos"/>
                <w:b/>
                <w:color w:val="FFFFFF"/>
                <w:sz w:val="16"/>
              </w:rPr>
              <w:t>BACKSTAGE SERVICENOW EXPERIENCE</w:t>
            </w:r>
          </w:p>
        </w:tc>
        <w:tc>
          <w:tcPr>
            <w:tcW w:type="dxa" w:w="2556"/>
            <w:vAlign w:val="top"/>
            <w:shd w:fill="1F5D7A"/>
          </w:tcPr>
          <w:p>
            <w:pPr>
              <w:spacing w:after="40"/>
            </w:pPr>
            <w:r/>
            <w:r>
              <w:rPr>
                <w:rFonts w:ascii="Aptos" w:hAnsi="Aptos"/>
                <w:b/>
                <w:color w:val="FFFFFF"/>
                <w:sz w:val="16"/>
              </w:rPr>
              <w:t>PRIMARY OWNER / HANDOFF</w:t>
            </w:r>
          </w:p>
        </w:tc>
        <w:tc>
          <w:tcPr>
            <w:tcW w:type="dxa" w:w="2556"/>
            <w:vAlign w:val="top"/>
            <w:shd w:fill="1F5D7A"/>
          </w:tcPr>
          <w:p>
            <w:pPr>
              <w:spacing w:after="40"/>
            </w:pPr>
            <w:r/>
            <w:r>
              <w:rPr>
                <w:rFonts w:ascii="Aptos" w:hAnsi="Aptos"/>
                <w:b/>
                <w:color w:val="FFFFFF"/>
                <w:sz w:val="16"/>
              </w:rPr>
              <w:t>SUCCESS SIGNAL</w:t>
            </w:r>
          </w:p>
        </w:tc>
      </w:tr>
      <w:tr>
        <w:tc>
          <w:tcPr>
            <w:tcW w:type="dxa" w:w="2556"/>
            <w:vAlign w:val="top"/>
          </w:tcPr>
          <w:p>
            <w:pPr>
              <w:spacing w:after="40"/>
            </w:pPr>
            <w:r/>
            <w:r>
              <w:rPr>
                <w:rFonts w:ascii="Aptos" w:hAnsi="Aptos"/>
                <w:b w:val="0"/>
                <w:sz w:val="16"/>
              </w:rPr>
              <w:t>Need Identified</w:t>
            </w:r>
          </w:p>
        </w:tc>
        <w:tc>
          <w:tcPr>
            <w:tcW w:type="dxa" w:w="2556"/>
            <w:vAlign w:val="top"/>
          </w:tcPr>
          <w:p>
            <w:pPr>
              <w:spacing w:after="40"/>
            </w:pPr>
            <w:r/>
            <w:r>
              <w:rPr>
                <w:rFonts w:ascii="Aptos" w:hAnsi="Aptos"/>
                <w:b w:val="0"/>
                <w:sz w:val="16"/>
              </w:rPr>
              <w:t>Portal entry and diagnostic service taxonomy are prepared.</w:t>
            </w:r>
          </w:p>
        </w:tc>
        <w:tc>
          <w:tcPr>
            <w:tcW w:type="dxa" w:w="2556"/>
            <w:vAlign w:val="top"/>
          </w:tcPr>
          <w:p>
            <w:pPr>
              <w:spacing w:after="40"/>
            </w:pPr>
            <w:r/>
            <w:r>
              <w:rPr>
                <w:rFonts w:ascii="Aptos" w:hAnsi="Aptos"/>
                <w:b w:val="0"/>
                <w:sz w:val="16"/>
              </w:rPr>
              <w:t>Patient / Service Owner</w:t>
            </w:r>
          </w:p>
        </w:tc>
        <w:tc>
          <w:tcPr>
            <w:tcW w:type="dxa" w:w="2556"/>
            <w:vAlign w:val="top"/>
          </w:tcPr>
          <w:p>
            <w:pPr>
              <w:spacing w:after="40"/>
            </w:pPr>
            <w:r/>
            <w:r>
              <w:rPr>
                <w:rFonts w:ascii="Aptos" w:hAnsi="Aptos"/>
                <w:b w:val="0"/>
                <w:sz w:val="16"/>
              </w:rPr>
              <w:t>Correct entry point is discoverable.</w:t>
            </w:r>
          </w:p>
        </w:tc>
      </w:tr>
      <w:tr>
        <w:tc>
          <w:tcPr>
            <w:tcW w:type="dxa" w:w="2556"/>
            <w:vAlign w:val="top"/>
          </w:tcPr>
          <w:p>
            <w:pPr>
              <w:spacing w:after="40"/>
            </w:pPr>
            <w:r/>
            <w:r>
              <w:rPr>
                <w:rFonts w:ascii="Aptos" w:hAnsi="Aptos"/>
                <w:b w:val="0"/>
                <w:sz w:val="16"/>
              </w:rPr>
              <w:t>Service Discovery</w:t>
            </w:r>
          </w:p>
        </w:tc>
        <w:tc>
          <w:tcPr>
            <w:tcW w:type="dxa" w:w="2556"/>
            <w:vAlign w:val="top"/>
          </w:tcPr>
          <w:p>
            <w:pPr>
              <w:spacing w:after="40"/>
            </w:pPr>
            <w:r/>
            <w:r>
              <w:rPr>
                <w:rFonts w:ascii="Aptos" w:hAnsi="Aptos"/>
                <w:b w:val="0"/>
                <w:sz w:val="16"/>
              </w:rPr>
              <w:t>Catalog item content and test categories guide correct selection.</w:t>
            </w:r>
          </w:p>
        </w:tc>
        <w:tc>
          <w:tcPr>
            <w:tcW w:type="dxa" w:w="2556"/>
            <w:vAlign w:val="top"/>
          </w:tcPr>
          <w:p>
            <w:pPr>
              <w:spacing w:after="40"/>
            </w:pPr>
            <w:r/>
            <w:r>
              <w:rPr>
                <w:rFonts w:ascii="Aptos" w:hAnsi="Aptos"/>
                <w:b w:val="0"/>
                <w:sz w:val="16"/>
              </w:rPr>
              <w:t>Patient / Service Coordinator</w:t>
            </w:r>
          </w:p>
        </w:tc>
        <w:tc>
          <w:tcPr>
            <w:tcW w:type="dxa" w:w="2556"/>
            <w:vAlign w:val="top"/>
          </w:tcPr>
          <w:p>
            <w:pPr>
              <w:spacing w:after="40"/>
            </w:pPr>
            <w:r/>
            <w:r>
              <w:rPr>
                <w:rFonts w:ascii="Aptos" w:hAnsi="Aptos"/>
                <w:b w:val="0"/>
                <w:sz w:val="16"/>
              </w:rPr>
              <w:t>Correct diagnostic service selected.</w:t>
            </w:r>
          </w:p>
        </w:tc>
      </w:tr>
      <w:tr>
        <w:tc>
          <w:tcPr>
            <w:tcW w:type="dxa" w:w="2556"/>
            <w:vAlign w:val="top"/>
          </w:tcPr>
          <w:p>
            <w:pPr>
              <w:spacing w:after="40"/>
            </w:pPr>
            <w:r/>
            <w:r>
              <w:rPr>
                <w:rFonts w:ascii="Aptos" w:hAnsi="Aptos"/>
                <w:b w:val="0"/>
                <w:sz w:val="16"/>
              </w:rPr>
              <w:t>Test Configuration</w:t>
            </w:r>
          </w:p>
        </w:tc>
        <w:tc>
          <w:tcPr>
            <w:tcW w:type="dxa" w:w="2556"/>
            <w:vAlign w:val="top"/>
          </w:tcPr>
          <w:p>
            <w:pPr>
              <w:spacing w:after="40"/>
            </w:pPr>
            <w:r/>
            <w:r>
              <w:rPr>
                <w:rFonts w:ascii="Aptos" w:hAnsi="Aptos"/>
                <w:b w:val="0"/>
                <w:sz w:val="16"/>
              </w:rPr>
              <w:t>Variables and dynamic behaviour create structured booking data.</w:t>
            </w:r>
          </w:p>
        </w:tc>
        <w:tc>
          <w:tcPr>
            <w:tcW w:type="dxa" w:w="2556"/>
            <w:vAlign w:val="top"/>
          </w:tcPr>
          <w:p>
            <w:pPr>
              <w:spacing w:after="40"/>
            </w:pPr>
            <w:r/>
            <w:r>
              <w:rPr>
                <w:rFonts w:ascii="Aptos" w:hAnsi="Aptos"/>
                <w:b w:val="0"/>
                <w:sz w:val="16"/>
              </w:rPr>
              <w:t>Patient / Reception / IT Admin</w:t>
            </w:r>
          </w:p>
        </w:tc>
        <w:tc>
          <w:tcPr>
            <w:tcW w:type="dxa" w:w="2556"/>
            <w:vAlign w:val="top"/>
          </w:tcPr>
          <w:p>
            <w:pPr>
              <w:spacing w:after="40"/>
            </w:pPr>
            <w:r/>
            <w:r>
              <w:rPr>
                <w:rFonts w:ascii="Aptos" w:hAnsi="Aptos"/>
                <w:b w:val="0"/>
                <w:sz w:val="16"/>
              </w:rPr>
              <w:t>Required data captured with minimal friction.</w:t>
            </w:r>
          </w:p>
        </w:tc>
      </w:tr>
      <w:tr>
        <w:tc>
          <w:tcPr>
            <w:tcW w:type="dxa" w:w="2556"/>
            <w:vAlign w:val="top"/>
          </w:tcPr>
          <w:p>
            <w:pPr>
              <w:spacing w:after="40"/>
            </w:pPr>
            <w:r/>
            <w:r>
              <w:rPr>
                <w:rFonts w:ascii="Aptos" w:hAnsi="Aptos"/>
                <w:b w:val="0"/>
                <w:sz w:val="16"/>
              </w:rPr>
              <w:t>Submit &amp; Validate</w:t>
            </w:r>
          </w:p>
        </w:tc>
        <w:tc>
          <w:tcPr>
            <w:tcW w:type="dxa" w:w="2556"/>
            <w:vAlign w:val="top"/>
          </w:tcPr>
          <w:p>
            <w:pPr>
              <w:spacing w:after="40"/>
            </w:pPr>
            <w:r/>
            <w:r>
              <w:rPr>
                <w:rFonts w:ascii="Aptos" w:hAnsi="Aptos"/>
                <w:b w:val="0"/>
                <w:sz w:val="16"/>
              </w:rPr>
              <w:t>Validation checks patient data, slot availability and booking rules.</w:t>
            </w:r>
          </w:p>
        </w:tc>
        <w:tc>
          <w:tcPr>
            <w:tcW w:type="dxa" w:w="2556"/>
            <w:vAlign w:val="top"/>
          </w:tcPr>
          <w:p>
            <w:pPr>
              <w:spacing w:after="40"/>
            </w:pPr>
            <w:r/>
            <w:r>
              <w:rPr>
                <w:rFonts w:ascii="Aptos" w:hAnsi="Aptos"/>
                <w:b w:val="0"/>
                <w:sz w:val="16"/>
              </w:rPr>
              <w:t>Patient / Platform Automation</w:t>
            </w:r>
          </w:p>
        </w:tc>
        <w:tc>
          <w:tcPr>
            <w:tcW w:type="dxa" w:w="2556"/>
            <w:vAlign w:val="top"/>
          </w:tcPr>
          <w:p>
            <w:pPr>
              <w:spacing w:after="40"/>
            </w:pPr>
            <w:r/>
            <w:r>
              <w:rPr>
                <w:rFonts w:ascii="Aptos" w:hAnsi="Aptos"/>
                <w:b w:val="0"/>
                <w:sz w:val="16"/>
              </w:rPr>
              <w:t>Valid booking created without rework or conflict.</w:t>
            </w:r>
          </w:p>
        </w:tc>
      </w:tr>
      <w:tr>
        <w:tc>
          <w:tcPr>
            <w:tcW w:type="dxa" w:w="2556"/>
            <w:vAlign w:val="top"/>
          </w:tcPr>
          <w:p>
            <w:pPr>
              <w:spacing w:after="40"/>
            </w:pPr>
            <w:r/>
            <w:r>
              <w:rPr>
                <w:rFonts w:ascii="Aptos" w:hAnsi="Aptos"/>
                <w:b w:val="0"/>
                <w:sz w:val="16"/>
              </w:rPr>
              <w:t>Approval &amp; Governance</w:t>
            </w:r>
          </w:p>
        </w:tc>
        <w:tc>
          <w:tcPr>
            <w:tcW w:type="dxa" w:w="2556"/>
            <w:vAlign w:val="top"/>
          </w:tcPr>
          <w:p>
            <w:pPr>
              <w:spacing w:after="40"/>
            </w:pPr>
            <w:r/>
            <w:r>
              <w:rPr>
                <w:rFonts w:ascii="Aptos" w:hAnsi="Aptos"/>
                <w:b w:val="0"/>
                <w:sz w:val="16"/>
              </w:rPr>
              <w:t>Flow Designer evaluates approval rules and records decisions.</w:t>
            </w:r>
          </w:p>
        </w:tc>
        <w:tc>
          <w:tcPr>
            <w:tcW w:type="dxa" w:w="2556"/>
            <w:vAlign w:val="top"/>
          </w:tcPr>
          <w:p>
            <w:pPr>
              <w:spacing w:after="40"/>
            </w:pPr>
            <w:r/>
            <w:r>
              <w:rPr>
                <w:rFonts w:ascii="Aptos" w:hAnsi="Aptos"/>
                <w:b w:val="0"/>
                <w:sz w:val="16"/>
              </w:rPr>
              <w:t>Lab Manager / IT Admin</w:t>
            </w:r>
          </w:p>
        </w:tc>
        <w:tc>
          <w:tcPr>
            <w:tcW w:type="dxa" w:w="2556"/>
            <w:vAlign w:val="top"/>
          </w:tcPr>
          <w:p>
            <w:pPr>
              <w:spacing w:after="40"/>
            </w:pPr>
            <w:r/>
            <w:r>
              <w:rPr>
                <w:rFonts w:ascii="Aptos" w:hAnsi="Aptos"/>
                <w:b w:val="0"/>
                <w:sz w:val="16"/>
              </w:rPr>
              <w:t>Decision recorded with audit evidence.</w:t>
            </w:r>
          </w:p>
        </w:tc>
      </w:tr>
      <w:tr>
        <w:tc>
          <w:tcPr>
            <w:tcW w:type="dxa" w:w="2556"/>
            <w:vAlign w:val="top"/>
          </w:tcPr>
          <w:p>
            <w:pPr>
              <w:spacing w:after="40"/>
            </w:pPr>
            <w:r/>
            <w:r>
              <w:rPr>
                <w:rFonts w:ascii="Aptos" w:hAnsi="Aptos"/>
                <w:b w:val="0"/>
                <w:sz w:val="16"/>
              </w:rPr>
              <w:t>Test Fulfilment</w:t>
            </w:r>
          </w:p>
        </w:tc>
        <w:tc>
          <w:tcPr>
            <w:tcW w:type="dxa" w:w="2556"/>
            <w:vAlign w:val="top"/>
          </w:tcPr>
          <w:p>
            <w:pPr>
              <w:spacing w:after="40"/>
            </w:pPr>
            <w:r/>
            <w:r>
              <w:rPr>
                <w:rFonts w:ascii="Aptos" w:hAnsi="Aptos"/>
                <w:b w:val="0"/>
                <w:sz w:val="16"/>
              </w:rPr>
              <w:t>Automation creates/assigns diagnostic tasks with patient context.</w:t>
            </w:r>
          </w:p>
        </w:tc>
        <w:tc>
          <w:tcPr>
            <w:tcW w:type="dxa" w:w="2556"/>
            <w:vAlign w:val="top"/>
          </w:tcPr>
          <w:p>
            <w:pPr>
              <w:spacing w:after="40"/>
            </w:pPr>
            <w:r/>
            <w:r>
              <w:rPr>
                <w:rFonts w:ascii="Aptos" w:hAnsi="Aptos"/>
                <w:b w:val="0"/>
                <w:sz w:val="16"/>
              </w:rPr>
              <w:t>Lab / Diagnostic Team</w:t>
            </w:r>
          </w:p>
        </w:tc>
        <w:tc>
          <w:tcPr>
            <w:tcW w:type="dxa" w:w="2556"/>
            <w:vAlign w:val="top"/>
          </w:tcPr>
          <w:p>
            <w:pPr>
              <w:spacing w:after="40"/>
            </w:pPr>
            <w:r/>
            <w:r>
              <w:rPr>
                <w:rFonts w:ascii="Aptos" w:hAnsi="Aptos"/>
                <w:b w:val="0"/>
                <w:sz w:val="16"/>
              </w:rPr>
              <w:t>Task completed with clear ownership.</w:t>
            </w:r>
          </w:p>
        </w:tc>
      </w:tr>
      <w:tr>
        <w:tc>
          <w:tcPr>
            <w:tcW w:type="dxa" w:w="2556"/>
            <w:vAlign w:val="top"/>
          </w:tcPr>
          <w:p>
            <w:pPr>
              <w:spacing w:after="40"/>
            </w:pPr>
            <w:r/>
            <w:r>
              <w:rPr>
                <w:rFonts w:ascii="Aptos" w:hAnsi="Aptos"/>
                <w:b w:val="0"/>
                <w:sz w:val="16"/>
              </w:rPr>
              <w:t>Notifications &amp; Status</w:t>
            </w:r>
          </w:p>
        </w:tc>
        <w:tc>
          <w:tcPr>
            <w:tcW w:type="dxa" w:w="2556"/>
            <w:vAlign w:val="top"/>
          </w:tcPr>
          <w:p>
            <w:pPr>
              <w:spacing w:after="40"/>
            </w:pPr>
            <w:r/>
            <w:r>
              <w:rPr>
                <w:rFonts w:ascii="Aptos" w:hAnsi="Aptos"/>
                <w:b w:val="0"/>
                <w:sz w:val="16"/>
              </w:rPr>
              <w:t>Lifecycle notifications communicate appointment, sample and report changes.</w:t>
            </w:r>
          </w:p>
        </w:tc>
        <w:tc>
          <w:tcPr>
            <w:tcW w:type="dxa" w:w="2556"/>
            <w:vAlign w:val="top"/>
          </w:tcPr>
          <w:p>
            <w:pPr>
              <w:spacing w:after="40"/>
            </w:pPr>
            <w:r/>
            <w:r>
              <w:rPr>
                <w:rFonts w:ascii="Aptos" w:hAnsi="Aptos"/>
                <w:b w:val="0"/>
                <w:sz w:val="16"/>
              </w:rPr>
              <w:t>Patient / Support</w:t>
            </w:r>
          </w:p>
        </w:tc>
        <w:tc>
          <w:tcPr>
            <w:tcW w:type="dxa" w:w="2556"/>
            <w:vAlign w:val="top"/>
          </w:tcPr>
          <w:p>
            <w:pPr>
              <w:spacing w:after="40"/>
            </w:pPr>
            <w:r/>
            <w:r>
              <w:rPr>
                <w:rFonts w:ascii="Aptos" w:hAnsi="Aptos"/>
                <w:b w:val="0"/>
                <w:sz w:val="16"/>
              </w:rPr>
              <w:t>Status and notifications are timely.</w:t>
            </w:r>
          </w:p>
        </w:tc>
      </w:tr>
      <w:tr>
        <w:tc>
          <w:tcPr>
            <w:tcW w:type="dxa" w:w="2556"/>
            <w:vAlign w:val="top"/>
          </w:tcPr>
          <w:p>
            <w:pPr>
              <w:spacing w:after="40"/>
            </w:pPr>
            <w:r/>
            <w:r>
              <w:rPr>
                <w:rFonts w:ascii="Aptos" w:hAnsi="Aptos"/>
                <w:b w:val="0"/>
                <w:sz w:val="16"/>
              </w:rPr>
              <w:t>Testing &amp; Validation</w:t>
            </w:r>
          </w:p>
        </w:tc>
        <w:tc>
          <w:tcPr>
            <w:tcW w:type="dxa" w:w="2556"/>
            <w:vAlign w:val="top"/>
          </w:tcPr>
          <w:p>
            <w:pPr>
              <w:spacing w:after="40"/>
            </w:pPr>
            <w:r/>
            <w:r>
              <w:rPr>
                <w:rFonts w:ascii="Aptos" w:hAnsi="Aptos"/>
                <w:b w:val="0"/>
                <w:sz w:val="16"/>
              </w:rPr>
              <w:t>Test evidence confirms booking, workflow, notifications, access and data accuracy.</w:t>
            </w:r>
          </w:p>
        </w:tc>
        <w:tc>
          <w:tcPr>
            <w:tcW w:type="dxa" w:w="2556"/>
            <w:vAlign w:val="top"/>
          </w:tcPr>
          <w:p>
            <w:pPr>
              <w:spacing w:after="40"/>
            </w:pPr>
            <w:r/>
            <w:r>
              <w:rPr>
                <w:rFonts w:ascii="Aptos" w:hAnsi="Aptos"/>
                <w:b w:val="0"/>
                <w:sz w:val="16"/>
              </w:rPr>
              <w:t>Developer / Tester / Service Owner</w:t>
            </w:r>
          </w:p>
        </w:tc>
        <w:tc>
          <w:tcPr>
            <w:tcW w:type="dxa" w:w="2556"/>
            <w:vAlign w:val="top"/>
          </w:tcPr>
          <w:p>
            <w:pPr>
              <w:spacing w:after="40"/>
            </w:pPr>
            <w:r/>
            <w:r>
              <w:rPr>
                <w:rFonts w:ascii="Aptos" w:hAnsi="Aptos"/>
                <w:b w:val="0"/>
                <w:sz w:val="16"/>
              </w:rPr>
              <w:t>Critical paths pass defined tests.</w:t>
            </w:r>
          </w:p>
        </w:tc>
      </w:tr>
      <w:tr>
        <w:tc>
          <w:tcPr>
            <w:tcW w:type="dxa" w:w="2556"/>
            <w:vAlign w:val="top"/>
          </w:tcPr>
          <w:p>
            <w:pPr>
              <w:spacing w:after="40"/>
            </w:pPr>
            <w:r/>
            <w:r>
              <w:rPr>
                <w:rFonts w:ascii="Aptos" w:hAnsi="Aptos"/>
                <w:b w:val="0"/>
                <w:sz w:val="16"/>
              </w:rPr>
              <w:t>UAT &amp; Acceptance</w:t>
            </w:r>
          </w:p>
        </w:tc>
        <w:tc>
          <w:tcPr>
            <w:tcW w:type="dxa" w:w="2556"/>
            <w:vAlign w:val="top"/>
          </w:tcPr>
          <w:p>
            <w:pPr>
              <w:spacing w:after="40"/>
            </w:pPr>
            <w:r/>
            <w:r>
              <w:rPr>
                <w:rFonts w:ascii="Aptos" w:hAnsi="Aptos"/>
                <w:b w:val="0"/>
                <w:sz w:val="16"/>
              </w:rPr>
              <w:t>UAT feedback becomes controlled changes before production.</w:t>
            </w:r>
          </w:p>
        </w:tc>
        <w:tc>
          <w:tcPr>
            <w:tcW w:type="dxa" w:w="2556"/>
            <w:vAlign w:val="top"/>
          </w:tcPr>
          <w:p>
            <w:pPr>
              <w:spacing w:after="40"/>
            </w:pPr>
            <w:r/>
            <w:r>
              <w:rPr>
                <w:rFonts w:ascii="Aptos" w:hAnsi="Aptos"/>
                <w:b w:val="0"/>
                <w:sz w:val="16"/>
              </w:rPr>
              <w:t>Stakeholder UAT Group</w:t>
            </w:r>
          </w:p>
        </w:tc>
        <w:tc>
          <w:tcPr>
            <w:tcW w:type="dxa" w:w="2556"/>
            <w:vAlign w:val="top"/>
          </w:tcPr>
          <w:p>
            <w:pPr>
              <w:spacing w:after="40"/>
            </w:pPr>
            <w:r/>
            <w:r>
              <w:rPr>
                <w:rFonts w:ascii="Aptos" w:hAnsi="Aptos"/>
                <w:b w:val="0"/>
                <w:sz w:val="16"/>
              </w:rPr>
              <w:t>Acceptance criteria are satisfied.</w:t>
            </w:r>
          </w:p>
        </w:tc>
      </w:tr>
      <w:tr>
        <w:tc>
          <w:tcPr>
            <w:tcW w:type="dxa" w:w="2556"/>
            <w:vAlign w:val="top"/>
          </w:tcPr>
          <w:p>
            <w:pPr>
              <w:spacing w:after="40"/>
            </w:pPr>
            <w:r/>
            <w:r>
              <w:rPr>
                <w:rFonts w:ascii="Aptos" w:hAnsi="Aptos"/>
                <w:b w:val="0"/>
                <w:sz w:val="16"/>
              </w:rPr>
              <w:t>Production Launch</w:t>
            </w:r>
          </w:p>
        </w:tc>
        <w:tc>
          <w:tcPr>
            <w:tcW w:type="dxa" w:w="2556"/>
            <w:vAlign w:val="top"/>
          </w:tcPr>
          <w:p>
            <w:pPr>
              <w:spacing w:after="40"/>
            </w:pPr>
            <w:r/>
            <w:r>
              <w:rPr>
                <w:rFonts w:ascii="Aptos" w:hAnsi="Aptos"/>
                <w:b w:val="0"/>
                <w:sz w:val="16"/>
              </w:rPr>
              <w:t>Configuration is migrated and production behaviour is verified.</w:t>
            </w:r>
          </w:p>
        </w:tc>
        <w:tc>
          <w:tcPr>
            <w:tcW w:type="dxa" w:w="2556"/>
            <w:vAlign w:val="top"/>
          </w:tcPr>
          <w:p>
            <w:pPr>
              <w:spacing w:after="40"/>
            </w:pPr>
            <w:r/>
            <w:r>
              <w:rPr>
                <w:rFonts w:ascii="Aptos" w:hAnsi="Aptos"/>
                <w:b w:val="0"/>
                <w:sz w:val="16"/>
              </w:rPr>
              <w:t>IT Admin / Release Owner</w:t>
            </w:r>
          </w:p>
        </w:tc>
        <w:tc>
          <w:tcPr>
            <w:tcW w:type="dxa" w:w="2556"/>
            <w:vAlign w:val="top"/>
          </w:tcPr>
          <w:p>
            <w:pPr>
              <w:spacing w:after="40"/>
            </w:pPr>
            <w:r/>
            <w:r>
              <w:rPr>
                <w:rFonts w:ascii="Aptos" w:hAnsi="Aptos"/>
                <w:b w:val="0"/>
                <w:sz w:val="16"/>
              </w:rPr>
              <w:t>Production validation succeeds.</w:t>
            </w:r>
          </w:p>
        </w:tc>
      </w:tr>
      <w:tr>
        <w:tc>
          <w:tcPr>
            <w:tcW w:type="dxa" w:w="2556"/>
            <w:vAlign w:val="top"/>
          </w:tcPr>
          <w:p>
            <w:pPr>
              <w:spacing w:after="40"/>
            </w:pPr>
            <w:r/>
            <w:r>
              <w:rPr>
                <w:rFonts w:ascii="Aptos" w:hAnsi="Aptos"/>
                <w:b w:val="0"/>
                <w:sz w:val="16"/>
              </w:rPr>
              <w:t>Monitor, Support &amp; Improve</w:t>
            </w:r>
          </w:p>
        </w:tc>
        <w:tc>
          <w:tcPr>
            <w:tcW w:type="dxa" w:w="2556"/>
            <w:vAlign w:val="top"/>
          </w:tcPr>
          <w:p>
            <w:pPr>
              <w:spacing w:after="40"/>
            </w:pPr>
            <w:r/>
            <w:r>
              <w:rPr>
                <w:rFonts w:ascii="Aptos" w:hAnsi="Aptos"/>
                <w:b w:val="0"/>
                <w:sz w:val="16"/>
              </w:rPr>
              <w:t>Operational data and feedback feed continuous improvement.</w:t>
            </w:r>
          </w:p>
        </w:tc>
        <w:tc>
          <w:tcPr>
            <w:tcW w:type="dxa" w:w="2556"/>
            <w:vAlign w:val="top"/>
          </w:tcPr>
          <w:p>
            <w:pPr>
              <w:spacing w:after="40"/>
            </w:pPr>
            <w:r/>
            <w:r>
              <w:rPr>
                <w:rFonts w:ascii="Aptos" w:hAnsi="Aptos"/>
                <w:b w:val="0"/>
                <w:sz w:val="16"/>
              </w:rPr>
              <w:t>Support / Service Owner</w:t>
            </w:r>
          </w:p>
        </w:tc>
        <w:tc>
          <w:tcPr>
            <w:tcW w:type="dxa" w:w="2556"/>
            <w:vAlign w:val="top"/>
          </w:tcPr>
          <w:p>
            <w:pPr>
              <w:spacing w:after="40"/>
            </w:pPr>
            <w:r/>
            <w:r>
              <w:rPr>
                <w:rFonts w:ascii="Aptos" w:hAnsi="Aptos"/>
                <w:b w:val="0"/>
                <w:sz w:val="16"/>
              </w:rPr>
              <w:t>Trend data drives improvement.</w:t>
            </w:r>
          </w:p>
        </w:tc>
      </w:tr>
    </w:tbl>
    <w:p>
      <w:r>
        <w:br w:type="page"/>
      </w:r>
    </w:p>
    <w:p>
      <w:r>
        <w:rPr>
          <w:b/>
          <w:color w:val="19374B"/>
          <w:sz w:val="40"/>
        </w:rPr>
        <w:t>4. JOURNEY-TO-DESIGN BRIDGE</w:t>
      </w:r>
    </w:p>
    <w:tbl>
      <w:tblPr>
        <w:tblStyle w:val="TableGrid"/>
        <w:tblW w:type="auto" w:w="0"/>
        <w:tblLook w:firstColumn="1" w:firstRow="1" w:lastColumn="0" w:lastRow="0" w:noHBand="0" w:noVBand="1" w:val="04A0"/>
      </w:tblPr>
      <w:tblGrid>
        <w:gridCol w:w="5112"/>
        <w:gridCol w:w="5112"/>
      </w:tblGrid>
      <w:tr>
        <w:tc>
          <w:tcPr>
            <w:tcW w:type="dxa" w:w="5112"/>
            <w:vAlign w:val="top"/>
            <w:shd w:fill="EEF1F4"/>
          </w:tcPr>
          <w:p>
            <w:pPr>
              <w:spacing w:after="40"/>
            </w:pPr>
            <w:r/>
            <w:r>
              <w:rPr>
                <w:rFonts w:ascii="Aptos" w:hAnsi="Aptos"/>
                <w:b/>
                <w:color w:val="19374B"/>
                <w:sz w:val="18"/>
              </w:rPr>
              <w:t>Customer experience</w:t>
            </w:r>
          </w:p>
        </w:tc>
        <w:tc>
          <w:tcPr>
            <w:tcW w:type="dxa" w:w="5112"/>
            <w:vAlign w:val="top"/>
          </w:tcPr>
          <w:p>
            <w:pPr>
              <w:spacing w:after="40"/>
            </w:pPr>
            <w:r/>
            <w:r>
              <w:rPr>
                <w:rFonts w:ascii="Aptos" w:hAnsi="Aptos"/>
                <w:b w:val="0"/>
                <w:sz w:val="18"/>
              </w:rPr>
              <w:t>Simple discovery → guided booking → transparent approval → predictable test fulfilment → visible status → trusted report closure.</w:t>
            </w:r>
          </w:p>
        </w:tc>
      </w:tr>
      <w:tr>
        <w:tc>
          <w:tcPr>
            <w:tcW w:type="dxa" w:w="5112"/>
            <w:vAlign w:val="top"/>
            <w:shd w:fill="EEF1F4"/>
          </w:tcPr>
          <w:p>
            <w:pPr>
              <w:spacing w:after="40"/>
            </w:pPr>
            <w:r/>
            <w:r>
              <w:rPr>
                <w:rFonts w:ascii="Aptos" w:hAnsi="Aptos"/>
                <w:b/>
                <w:color w:val="19374B"/>
                <w:sz w:val="18"/>
              </w:rPr>
              <w:t>ServiceNow design</w:t>
            </w:r>
          </w:p>
        </w:tc>
        <w:tc>
          <w:tcPr>
            <w:tcW w:type="dxa" w:w="5112"/>
            <w:vAlign w:val="top"/>
          </w:tcPr>
          <w:p>
            <w:pPr>
              <w:spacing w:after="40"/>
            </w:pPr>
            <w:r/>
            <w:r>
              <w:rPr>
                <w:rFonts w:ascii="Aptos" w:hAnsi="Aptos"/>
                <w:b w:val="0"/>
                <w:sz w:val="18"/>
              </w:rPr>
              <w:t>Service Catalog + Variables + Dynamic Behaviours + Validation + Flow Designer + Approvals + Tasks + Notifications + ACLs + Audit.</w:t>
            </w:r>
          </w:p>
        </w:tc>
      </w:tr>
      <w:tr>
        <w:tc>
          <w:tcPr>
            <w:tcW w:type="dxa" w:w="5112"/>
            <w:vAlign w:val="top"/>
            <w:shd w:fill="EEF1F4"/>
          </w:tcPr>
          <w:p>
            <w:pPr>
              <w:spacing w:after="40"/>
            </w:pPr>
            <w:r/>
            <w:r>
              <w:rPr>
                <w:rFonts w:ascii="Aptos" w:hAnsi="Aptos"/>
                <w:b/>
                <w:color w:val="19374B"/>
                <w:sz w:val="18"/>
              </w:rPr>
              <w:t>Delivery lifecycle</w:t>
            </w:r>
          </w:p>
        </w:tc>
        <w:tc>
          <w:tcPr>
            <w:tcW w:type="dxa" w:w="5112"/>
            <w:vAlign w:val="top"/>
          </w:tcPr>
          <w:p>
            <w:pPr>
              <w:spacing w:after="40"/>
            </w:pPr>
            <w:r/>
            <w:r>
              <w:rPr>
                <w:rFonts w:ascii="Aptos" w:hAnsi="Aptos"/>
                <w:b w:val="0"/>
                <w:sz w:val="18"/>
              </w:rPr>
              <w:t>Design → Configure → Unit Test → End-to-End Test → UAT → Deploy → Monitor → Improve.</w:t>
            </w:r>
          </w:p>
        </w:tc>
      </w:tr>
      <w:tr>
        <w:tc>
          <w:tcPr>
            <w:tcW w:type="dxa" w:w="5112"/>
            <w:vAlign w:val="top"/>
            <w:shd w:fill="EEF1F4"/>
          </w:tcPr>
          <w:p>
            <w:pPr>
              <w:spacing w:after="40"/>
            </w:pPr>
            <w:r/>
            <w:r>
              <w:rPr>
                <w:rFonts w:ascii="Aptos" w:hAnsi="Aptos"/>
                <w:b/>
                <w:color w:val="19374B"/>
                <w:sz w:val="18"/>
              </w:rPr>
              <w:t>Evidence to capture</w:t>
            </w:r>
          </w:p>
        </w:tc>
        <w:tc>
          <w:tcPr>
            <w:tcW w:type="dxa" w:w="5112"/>
            <w:vAlign w:val="top"/>
          </w:tcPr>
          <w:p>
            <w:pPr>
              <w:spacing w:after="40"/>
            </w:pPr>
            <w:r/>
            <w:r>
              <w:rPr>
                <w:rFonts w:ascii="Aptos" w:hAnsi="Aptos"/>
                <w:b w:val="0"/>
                <w:sz w:val="18"/>
              </w:rPr>
              <w:t>Booking data accuracy, slot validation, approval routing, task creation, notification delivery, report-status transitions, defect results, UAT evidence, production validation and operational metrics.</w:t>
            </w:r>
          </w:p>
        </w:tc>
      </w:tr>
    </w:tbl>
    <w:p>
      <w:r>
        <w:rPr>
          <w:b/>
          <w:color w:val="19374B"/>
          <w:sz w:val="40"/>
        </w:rPr>
        <w:t>5. MAP OUTCOME</w:t>
      </w:r>
    </w:p>
    <w:p>
      <w:r>
        <w:t>The Medical Diagnosis Center journey is designed as one continuous ServiceNow experience rather than a set of isolated configuration steps. The journey begins with the patient's need, moves through service discovery and booking, applies validation and governance, creates diagnostic fulfilment work, communicates status and reports, and ends with monitoring and continuous improvement.</w:t>
      </w:r>
    </w:p>
    <w:p>
      <w:r>
        <w:t>This structure intentionally keeps each journey stage separate so that the document can be reviewed, edited and presented without overlapping text or compressed 11-column content.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