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6"/>
        </w:rPr>
        <w:t>Project Design Phase-II</w:t>
      </w:r>
    </w:p>
    <w:p>
      <w:pPr>
        <w:jc w:val="center"/>
      </w:pPr>
      <w:r>
        <w:rPr>
          <w:rFonts w:ascii="Times New Roman" w:hAnsi="Times New Roman"/>
          <w:b/>
          <w:sz w:val="30"/>
        </w:rPr>
        <w:t>Solution Requirements (Functional &amp; Non-functional)</w:t>
      </w:r>
    </w:p>
    <w:p>
      <w:pPr>
        <w:jc w:val="center"/>
      </w:pPr>
      <w:r>
        <w:rPr>
          <w:rFonts w:ascii="Times New Roman" w:hAnsi="Times New Roman"/>
          <w:b/>
          <w:sz w:val="24"/>
        </w:rPr>
        <w:t>Medical Diagnosis Center by Service Portal (ServiceNow)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424"/>
      </w:tblGrid>
      <w:tr>
        <w:tc>
          <w:tcPr>
            <w:tcW w:type="dxa" w:w="53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7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Date</w:t>
            </w:r>
          </w:p>
        </w:tc>
        <w:tc>
          <w:tcPr>
            <w:tcW w:type="dxa" w:w="53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02 October 2026</w:t>
            </w:r>
          </w:p>
        </w:tc>
      </w:tr>
      <w:tr>
        <w:tc>
          <w:tcPr>
            <w:tcW w:type="dxa" w:w="53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7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Project Name</w:t>
            </w:r>
          </w:p>
        </w:tc>
        <w:tc>
          <w:tcPr>
            <w:tcW w:type="dxa" w:w="53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Medical Diagnosis Center by Service Portal (ServiceNow)</w:t>
            </w:r>
          </w:p>
        </w:tc>
      </w:tr>
      <w:tr>
        <w:tc>
          <w:tcPr>
            <w:tcW w:type="dxa" w:w="53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7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Maximum Marks</w:t>
            </w:r>
          </w:p>
        </w:tc>
        <w:tc>
          <w:tcPr>
            <w:tcW w:type="dxa" w:w="53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4 Marks</w:t>
            </w:r>
          </w:p>
        </w:tc>
      </w:tr>
    </w:tbl>
    <w:p/>
    <w:p>
      <w:pPr>
        <w:pStyle w:val="Heading1"/>
      </w:pPr>
      <w:r>
        <w:t>Functional Requirements</w:t>
      </w:r>
    </w:p>
    <w:p>
      <w:pPr>
        <w:spacing w:after="140"/>
      </w:pPr>
      <w:r>
        <w:t>The following functional requirements define the core behaviour of the proposed ServiceNow-based Medical Diagnosis Center solution. They are adapted from the supplied Solution Requirements reference structure and aligned to the diagnostic booking, workflow, approval, record-update and notification scope established for this project. Capabilities not demonstrated in the current implementation are treated as planned or future scope rather than claimed as implemented.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2376"/>
        <w:gridCol w:w="7488"/>
      </w:tblGrid>
      <w:tr>
        <w:trPr>
          <w:tblHeader w:val="true"/>
        </w:trPr>
        <w:tc>
          <w:tcPr>
            <w:tcW w:type="dxa" w:w="35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E5F7F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7"/>
              </w:rPr>
              <w:t>FR No.</w:t>
            </w:r>
          </w:p>
        </w:tc>
        <w:tc>
          <w:tcPr>
            <w:tcW w:type="dxa" w:w="35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E5F7F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7"/>
              </w:rPr>
              <w:t>Functional Requirement (Epic)</w:t>
            </w:r>
          </w:p>
        </w:tc>
        <w:tc>
          <w:tcPr>
            <w:tcW w:type="dxa" w:w="35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E5F7F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7"/>
              </w:rPr>
              <w:t>Sub Requirement (Story / Sub-Task)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FR-1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Diagnostic Test Catalog</w:t>
            </w:r>
          </w:p>
        </w:tc>
        <w:tc>
          <w:tcPr>
            <w:tcW w:type="dxa" w:w="7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Provide a Service Catalog item for patients/users to submit diagnostic test requests. Acceptance: the configured request information is captured and a ServiceNow Requested Item (RITM) is created from the submission.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FR-2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Patient &amp; Test Data Capture</w:t>
            </w:r>
          </w:p>
        </w:tc>
        <w:tc>
          <w:tcPr>
            <w:tcW w:type="dxa" w:w="7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Capture required patient and diagnostic information through catalog variables and mandatory fields. Acceptance: configured variables are available to the workflow and incomplete required information cannot be submitted.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FR-3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Dynamic Form Behaviour</w:t>
            </w:r>
          </w:p>
        </w:tc>
        <w:tc>
          <w:tcPr>
            <w:tcW w:type="dxa" w:w="7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Use clear form behaviour to show or require fields according to the selected diagnostic test or request context. Acceptance: conditional visibility and mandatory behaviour work as configured without unnecessary client-side logic.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FR-4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Test Booking &amp; Workflow</w:t>
            </w:r>
          </w:p>
        </w:tc>
        <w:tc>
          <w:tcPr>
            <w:tcW w:type="dxa" w:w="7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Trigger the diagnostic booking workflow when the catalog request is submitted. Acceptance: the Service Catalog trigger receives the Requested Item record and starts the configured workflow.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FR-5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Appointment Variable Retrieval</w:t>
            </w:r>
          </w:p>
        </w:tc>
        <w:tc>
          <w:tcPr>
            <w:tcW w:type="dxa" w:w="7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Retrieve selected appointment and diagnostic variables for downstream automation. Acceptance: the configured test, date, time-slot and patient variables are exposed as workflow outputs.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FR-6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Diagnostic Booking Record Creation</w:t>
            </w:r>
          </w:p>
        </w:tc>
        <w:tc>
          <w:tcPr>
            <w:tcW w:type="dxa" w:w="7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Create a structured diagnostic booking/operational record from the submitted request values. Acceptance: configured catalog values are mapped into the operational record and the initial status is set to Requested.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FR-7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Approval Management</w:t>
            </w:r>
          </w:p>
        </w:tc>
        <w:tc>
          <w:tcPr>
            <w:tcW w:type="dxa" w:w="7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Send diagnostic requests requiring approval through the configured approval action. Acceptance: an approval request is generated and the configured approver/approval rule can provide an outcome.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FR-8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Approval Decision &amp; Branching</w:t>
            </w:r>
          </w:p>
        </w:tc>
        <w:tc>
          <w:tcPr>
            <w:tcW w:type="dxa" w:w="7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Evaluate the approval outcome and execute the correct workflow path. Acceptance: approved requests follow the Approved branch; non-approved requests follow the corresponding rejection/else path and record update.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FR-9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Patient Notifications</w:t>
            </w:r>
          </w:p>
        </w:tc>
        <w:tc>
          <w:tcPr>
            <w:tcW w:type="dxa" w:w="7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Send lifecycle notifications at configured diagnostic-request stages. Acceptance: the request-created notification is sent after record creation and the configured status/resolution notification is sent after the relevant update.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FR-10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Appointment Status &amp; Tracking</w:t>
            </w:r>
          </w:p>
        </w:tc>
        <w:tc>
          <w:tcPr>
            <w:tcW w:type="dxa" w:w="7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Maintain an understandable appointment/request status across the workflow. Acceptance: the operational record reflects configured lifecycle states such as Requested, Approved, Rejected, Completed or Report Available, where configured.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FR-11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Test Fulfilment &amp; Report Handoff</w:t>
            </w:r>
          </w:p>
        </w:tc>
        <w:tc>
          <w:tcPr>
            <w:tcW w:type="dxa" w:w="7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Make approved diagnostic-request information available for downstream test fulfilment, sample collection, processing and report handoff. Acceptance: the approved request contains the mapped information needed by the responsible operational process; detailed fulfilment automation is a future extension unless configured.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FR-12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Workflow Monitoring &amp; Documentation</w:t>
            </w:r>
          </w:p>
        </w:tc>
        <w:tc>
          <w:tcPr>
            <w:tcW w:type="dxa" w:w="7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Support workflow execution review, troubleshooting and solution handoff. Acceptance: administrators can inspect execution details, mappings and condition paths and maintain documentation for recreation in another ServiceNow instance.</w:t>
            </w:r>
          </w:p>
        </w:tc>
      </w:tr>
    </w:tbl>
    <w:p>
      <w:r>
        <w:br w:type="page"/>
      </w:r>
    </w:p>
    <w:p>
      <w:pPr>
        <w:pStyle w:val="Heading1"/>
      </w:pPr>
      <w:r>
        <w:t>Non-functional Requirements</w:t>
      </w:r>
    </w:p>
    <w:p>
      <w:r>
        <w:t>The non-functional requirements define the quality expectations for usability, security, reliability, performance, availability, scalability, maintainability, data integrity, compatibility and auditability. These requirements are expressed at the application-design level; platform-level guarantees remain dependent on the deployed ServiceNow instance.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2448"/>
        <w:gridCol w:w="7416"/>
      </w:tblGrid>
      <w:tr>
        <w:trPr>
          <w:tblHeader w:val="true"/>
        </w:trPr>
        <w:tc>
          <w:tcPr>
            <w:tcW w:type="dxa" w:w="35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E5F7F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7"/>
              </w:rPr>
              <w:t>NFR No.</w:t>
            </w:r>
          </w:p>
        </w:tc>
        <w:tc>
          <w:tcPr>
            <w:tcW w:type="dxa" w:w="35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E5F7F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7"/>
              </w:rPr>
              <w:t>Non-Functional Requirement</w:t>
            </w:r>
          </w:p>
        </w:tc>
        <w:tc>
          <w:tcPr>
            <w:tcW w:type="dxa" w:w="35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E5F7F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NFR-1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Usability</w:t>
            </w:r>
          </w:p>
        </w:tc>
        <w:tc>
          <w:tcPr>
            <w:tcW w:type="dxa" w:w="74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The patient-facing diagnostic booking experience should be simple, readable and guided. Mandatory fields and clear descriptions should reduce incomplete submissions.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NFR-2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74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Access to patient, appointment and diagnostic data should be governed through ServiceNow roles and ACLs, with administrative configuration restricted to authorized users.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NFR-3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Reliability</w:t>
            </w:r>
          </w:p>
        </w:tc>
        <w:tc>
          <w:tcPr>
            <w:tcW w:type="dxa" w:w="74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For valid submissions, catalog data should move consistently from the Service Catalog through the configured workflow into the diagnostic booking/operational record.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NFR-4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Performance</w:t>
            </w:r>
          </w:p>
        </w:tc>
        <w:tc>
          <w:tcPr>
            <w:tcW w:type="dxa" w:w="74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Normal test-request submission and workflow processing should avoid unnecessary manual steps and excessive client-side processing; server-side orchestration should remain maintainable.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NFR-5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Availability</w:t>
            </w:r>
          </w:p>
        </w:tc>
        <w:tc>
          <w:tcPr>
            <w:tcW w:type="dxa" w:w="74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The solution is expected to be accessible whenever the deployed ServiceNow instance and required platform services are available; no independent uptime guarantee is asserted by this project.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NFR-6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Scalability</w:t>
            </w:r>
          </w:p>
        </w:tc>
        <w:tc>
          <w:tcPr>
            <w:tcW w:type="dxa" w:w="74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The design should allow additional diagnostic test categories, variables, approval rules, fulfilment paths and notification rules without redesigning the complete solution.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NFR-7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Maintainability</w:t>
            </w:r>
          </w:p>
        </w:tc>
        <w:tc>
          <w:tcPr>
            <w:tcW w:type="dxa" w:w="74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Prefer Service Catalog, Flow Designer, UI Policies and ACL configuration. Custom scripting should be limited to necessary behaviour and the workflow should remain understandable to another administrator.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NFR-8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Data Integrity</w:t>
            </w:r>
          </w:p>
        </w:tc>
        <w:tc>
          <w:tcPr>
            <w:tcW w:type="dxa" w:w="74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Values captured in the diagnostic catalog should remain consistent when mapped to the booking/operational record. Mapping and validation errors should be detectable during testing.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NFR-9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Compatibility</w:t>
            </w:r>
          </w:p>
        </w:tc>
        <w:tc>
          <w:tcPr>
            <w:tcW w:type="dxa" w:w="74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The requester experience should operate in the intended ServiceNow Service Portal/catalog context and use supported platform capabilities for workflow and notifications.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NFR-10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Auditability &amp; Troubleshooting</w:t>
            </w:r>
          </w:p>
        </w:tc>
        <w:tc>
          <w:tcPr>
            <w:tcW w:type="dxa" w:w="74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Administrators should be able to inspect workflow execution, approval/condition paths, stored values and available execution information to diagnose failures.</w:t>
            </w:r>
          </w:p>
        </w:tc>
      </w:tr>
    </w:tbl>
    <w:p/>
    <w:p>
      <w:pPr>
        <w:pStyle w:val="Heading1"/>
      </w:pPr>
      <w:r>
        <w:t>Future / Out-of-Scope Requirements for the Current Version</w:t>
      </w:r>
    </w:p>
    <w:p>
      <w:pPr>
        <w:ind w:left="216" w:hanging="173"/>
      </w:pPr>
      <w:r>
        <w:rPr>
          <w:b/>
        </w:rPr>
        <w:t xml:space="preserve">• </w:t>
      </w:r>
      <w:r>
        <w:t>Additional diagnostic test categories and specialized catalog items beyond the currently demonstrated test-booking scope.</w:t>
      </w:r>
    </w:p>
    <w:p>
      <w:pPr>
        <w:ind w:left="216" w:hanging="173"/>
      </w:pPr>
      <w:r>
        <w:rPr>
          <w:b/>
        </w:rPr>
        <w:t xml:space="preserve">• </w:t>
      </w:r>
      <w:r>
        <w:t>Multi-level approval chains such as specialist approval followed by administrative approval, unless configured in the implementation.</w:t>
      </w:r>
    </w:p>
    <w:p>
      <w:pPr>
        <w:ind w:left="216" w:hanging="173"/>
      </w:pPr>
      <w:r>
        <w:rPr>
          <w:b/>
        </w:rPr>
        <w:t xml:space="preserve">• </w:t>
      </w:r>
      <w:r>
        <w:t>Automated integrations with external laboratory systems, medical devices, payment gateways or other external systems.</w:t>
      </w:r>
    </w:p>
    <w:p>
      <w:pPr>
        <w:ind w:left="216" w:hanging="173"/>
      </w:pPr>
      <w:r>
        <w:rPr>
          <w:b/>
        </w:rPr>
        <w:t xml:space="preserve">• </w:t>
      </w:r>
      <w:r>
        <w:t>Automated fulfilment task creation and closure rules beyond the workflow currently demonstrated.</w:t>
      </w:r>
    </w:p>
    <w:p>
      <w:pPr>
        <w:ind w:left="216" w:hanging="173"/>
      </w:pPr>
      <w:r>
        <w:rPr>
          <w:b/>
        </w:rPr>
        <w:t xml:space="preserve">• </w:t>
      </w:r>
      <w:r>
        <w:t>Advanced SLA calculation, escalation and performance dashboards.</w:t>
      </w:r>
    </w:p>
    <w:p>
      <w:pPr>
        <w:ind w:left="216" w:hanging="173"/>
      </w:pPr>
      <w:r>
        <w:rPr>
          <w:b/>
        </w:rPr>
        <w:t xml:space="preserve">• </w:t>
      </w:r>
      <w:r>
        <w:t>External messaging channels such as SMS, WhatsApp or other notification integrations.</w:t>
      </w:r>
    </w:p>
    <w:p>
      <w:pPr>
        <w:ind w:left="216" w:hanging="173"/>
      </w:pPr>
      <w:r>
        <w:rPr>
          <w:b/>
        </w:rPr>
        <w:t xml:space="preserve">• </w:t>
      </w:r>
      <w:r>
        <w:t>AI-based diagnostic recommendation, priority prediction or anomaly detection.</w:t>
      </w:r>
    </w:p>
    <w:p>
      <w:pPr>
        <w:ind w:left="216" w:hanging="173"/>
      </w:pPr>
      <w:r>
        <w:rPr>
          <w:b/>
        </w:rPr>
        <w:t xml:space="preserve">• </w:t>
      </w:r>
      <w:r>
        <w:t>Advanced diagnostic analytics and operational dashboards.</w:t>
      </w:r>
    </w:p>
    <w:p>
      <w:pPr>
        <w:pStyle w:val="Heading1"/>
      </w:pPr>
      <w:r>
        <w:t>Requirement Traceability Summary</w:t>
      </w:r>
    </w:p>
    <w:p>
      <w:r>
        <w:t>The critical end-to-end requirement path is: patient/requester enters valid diagnostic information → request is submitted through the Service Catalog → workflow retrieves configured variables → diagnostic booking/operational record is created with an initial Requested state → approval is requested where configured → the approval result is evaluated → the record is updated to the appropriate status → the configured notification is sent → the resulting request is available for diagnostic fulfilment, report handoff and tracking. This path defines the highest-priority testing and troubleshooting scenarios, especially variable mappings, record creation, approval routing, condition logic and notification execution.</w:t>
      </w:r>
    </w:p>
    <w:sectPr w:rsidR="00FC693F" w:rsidRPr="0006063C" w:rsidSect="00034616">
      <w:foot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Medical Diagnosis Center – Solution Requirements | </w:t>
    </w:r>
    <w:fldChar w:fldCharType="begin"/>
    <w:instrText xml:space="preserve">PAGE</w:instrText>
    <w:fldChar w:fldCharType="end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