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34"/>
          <w:szCs w:val="34"/>
        </w:rPr>
        <w:t xml:space="preserve">Code Review Process and Debugging Strategy Documentation</w:t>
      </w:r>
    </w:p>
    <w:p>
      <w:pPr>
        <w:spacing w:after="100"/>
        <w:jc w:val="center"/>
      </w:pPr>
      <w:r>
        <w:rPr>
          <w:sz w:val="28"/>
          <w:szCs w:val="28"/>
        </w:rPr>
        <w:t xml:space="preserve">Project: PocketLedger — Personal Expense Tracker</w:t>
      </w:r>
    </w:p>
    <w:p>
      <w:pPr>
        <w:spacing w:after="100"/>
        <w:jc w:val="center"/>
      </w:pPr>
      <w:r>
        <w:rPr>
          <w:color w:val="555555"/>
          <w:sz w:val="24"/>
          <w:szCs w:val="24"/>
        </w:rPr>
        <w:t xml:space="preserve">Prepared by: Varsha</w:t>
      </w:r>
    </w:p>
    <w:p>
      <w:pPr>
        <w:spacing w:after="100"/>
        <w:jc w:val="center"/>
      </w:pPr>
      <w:r>
        <w:rPr>
          <w:color w:val="555555"/>
          <w:sz w:val="24"/>
          <w:szCs w:val="24"/>
        </w:rPr>
        <w:t xml:space="preserve">Role: Junior Software Developer Intern</w:t>
      </w:r>
    </w:p>
    <w:p>
      <w:pPr>
        <w:jc w:val="center"/>
      </w:pPr>
      <w:r>
        <w:rPr>
          <w:color w:val="555555"/>
          <w:sz w:val="24"/>
          <w:szCs w:val="24"/>
        </w:rPr>
        <w:t xml:space="preserve">Version 1.0 — Week 5 Deliverable</w:t>
      </w:r>
    </w:p>
    <w:p>
      <w:r>
        <w:br w:type="page"/>
      </w:r>
    </w:p>
    <w:p>
      <w:pPr>
        <w:pStyle w:val="Heading1"/>
        <w:spacing w:after="200" w:before="360"/>
      </w:pPr>
      <w:r>
        <w:t xml:space="preserve">1. Introduction</w:t>
      </w:r>
    </w:p>
    <w:p>
      <w:pPr>
        <w:spacing w:after="200"/>
      </w:pPr>
      <w:r>
        <w:t xml:space="preserve">This document defines the code review process and debugging strategy for PocketLedger, expanding on the self-review outline introduced in the Week 4 QA plan (Section 7) into a fully structured process, and formalizing the debugging methodology that supports the defect-tracking system defined in Week 4 (Section 6). It covers what to review, what tools support the review, how to give effective feedback, how debugging proceeds from symptom to root cause, and how collaboration works even though this project is built by a single developer. Two hypothetical case studies close the document, showing both processes applied to realistic defects rather than left abstract.</w:t>
      </w:r>
    </w:p>
    <w:p>
      <w:pPr>
        <w:pStyle w:val="Heading1"/>
        <w:spacing w:after="200" w:before="360"/>
      </w:pPr>
      <w:r>
        <w:t xml:space="preserve">2. Code Review Process</w:t>
      </w:r>
    </w:p>
    <w:p>
      <w:pPr>
        <w:spacing w:after="200"/>
      </w:pPr>
      <w:r>
        <w:t xml:space="preserve">As noted in Week 4 (Section 7), a traditional two-person pull-request review is not available on a solo project. Rather than skip review, this document treats review as a mandatory, structured step performed by the same developer after a deliberate context break, supported by automated tooling wherever a human check can be replaced by a reliable, repeatable one.</w:t>
      </w:r>
    </w:p>
    <w:p>
      <w:pPr>
        <w:pStyle w:val="Heading2"/>
        <w:spacing w:after="160" w:before="240"/>
      </w:pPr>
      <w:r>
        <w:t xml:space="preserve">2.1 What to Review</w:t>
      </w:r>
    </w:p>
    <w:p>
      <w:pPr>
        <w:spacing w:after="200"/>
      </w:pPr>
      <w:r>
        <w:t xml:space="preserve">Every review checks four categories, each traced back to a specific decision made in earlier weeks so the checklist is not generic: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650"/>
        <w:gridCol w:w="2300"/>
      </w:tblGrid>
      <w:tr>
        <w:tc>
          <w:tcPr>
            <w:tcW w:type="dxa" w:w="2400"/>
            <w:shd w:fill="2F5496" w:val="clear"/>
            <w:tcMar>
              <w:top w:type="dxa" w:w="100"/>
              <w:left w:type="dxa" w:w="120"/>
              <w:bottom w:type="dxa" w:w="100"/>
              <w:right w:type="dxa" w:w="120"/>
            </w:tcMar>
          </w:tcPr>
          <w:p>
            <w:r>
              <w:rPr>
                <w:b/>
                <w:bCs/>
                <w:color w:val="FFFFFF"/>
                <w:sz w:val="20"/>
                <w:szCs w:val="20"/>
              </w:rPr>
              <w:t xml:space="preserve">Category</w:t>
            </w:r>
          </w:p>
        </w:tc>
        <w:tc>
          <w:tcPr>
            <w:tcW w:type="dxa" w:w="4650"/>
            <w:shd w:fill="2F5496" w:val="clear"/>
            <w:tcMar>
              <w:top w:type="dxa" w:w="100"/>
              <w:left w:type="dxa" w:w="120"/>
              <w:bottom w:type="dxa" w:w="100"/>
              <w:right w:type="dxa" w:w="120"/>
            </w:tcMar>
          </w:tcPr>
          <w:p>
            <w:r>
              <w:rPr>
                <w:b/>
                <w:bCs/>
                <w:color w:val="FFFFFF"/>
                <w:sz w:val="20"/>
                <w:szCs w:val="20"/>
              </w:rPr>
              <w:t xml:space="preserve">Specific Check</w:t>
            </w:r>
          </w:p>
        </w:tc>
        <w:tc>
          <w:tcPr>
            <w:tcW w:type="dxa" w:w="2300"/>
            <w:shd w:fill="2F5496" w:val="clear"/>
            <w:tcMar>
              <w:top w:type="dxa" w:w="100"/>
              <w:left w:type="dxa" w:w="120"/>
              <w:bottom w:type="dxa" w:w="100"/>
              <w:right w:type="dxa" w:w="120"/>
            </w:tcMar>
          </w:tcPr>
          <w:p>
            <w:r>
              <w:rPr>
                <w:b/>
                <w:bCs/>
                <w:color w:val="FFFFFF"/>
                <w:sz w:val="20"/>
                <w:szCs w:val="20"/>
              </w:rPr>
              <w:t xml:space="preserve">Traced To</w:t>
            </w:r>
          </w:p>
        </w:tc>
      </w:tr>
      <w:tr>
        <w:tc>
          <w:tcPr>
            <w:tcW w:type="dxa" w:w="2400"/>
            <w:tcMar>
              <w:top w:type="dxa" w:w="100"/>
              <w:left w:type="dxa" w:w="120"/>
              <w:bottom w:type="dxa" w:w="100"/>
              <w:right w:type="dxa" w:w="120"/>
            </w:tcMar>
          </w:tcPr>
          <w:p>
            <w:r>
              <w:rPr>
                <w:b w:val="false"/>
                <w:bCs w:val="false"/>
                <w:color w:val="000000"/>
                <w:sz w:val="20"/>
                <w:szCs w:val="20"/>
              </w:rPr>
              <w:t xml:space="preserve">Correctness</w:t>
            </w:r>
          </w:p>
        </w:tc>
        <w:tc>
          <w:tcPr>
            <w:tcW w:type="dxa" w:w="4650"/>
            <w:tcMar>
              <w:top w:type="dxa" w:w="100"/>
              <w:left w:type="dxa" w:w="120"/>
              <w:bottom w:type="dxa" w:w="100"/>
              <w:right w:type="dxa" w:w="120"/>
            </w:tcMar>
          </w:tcPr>
          <w:p>
            <w:r>
              <w:rPr>
                <w:b w:val="false"/>
                <w:bCs w:val="false"/>
                <w:color w:val="000000"/>
                <w:sz w:val="20"/>
                <w:szCs w:val="20"/>
              </w:rPr>
              <w:t xml:space="preserve">Does the code satisfy the acceptance criteria in the test case it was written for (e.g., EXP-07's future-date rejection)?</w:t>
            </w:r>
          </w:p>
        </w:tc>
        <w:tc>
          <w:tcPr>
            <w:tcW w:type="dxa" w:w="2300"/>
            <w:tcMar>
              <w:top w:type="dxa" w:w="100"/>
              <w:left w:type="dxa" w:w="120"/>
              <w:bottom w:type="dxa" w:w="100"/>
              <w:right w:type="dxa" w:w="120"/>
            </w:tcMar>
          </w:tcPr>
          <w:p>
            <w:r>
              <w:rPr>
                <w:b w:val="false"/>
                <w:bCs w:val="false"/>
                <w:color w:val="000000"/>
                <w:sz w:val="20"/>
                <w:szCs w:val="20"/>
              </w:rPr>
              <w:t xml:space="preserve">Week 4, Section 3</w:t>
            </w:r>
          </w:p>
        </w:tc>
      </w:tr>
      <w:tr>
        <w:tc>
          <w:tcPr>
            <w:tcW w:type="dxa" w:w="2400"/>
            <w:tcMar>
              <w:top w:type="dxa" w:w="100"/>
              <w:left w:type="dxa" w:w="120"/>
              <w:bottom w:type="dxa" w:w="100"/>
              <w:right w:type="dxa" w:w="120"/>
            </w:tcMar>
          </w:tcPr>
          <w:p>
            <w:r>
              <w:rPr>
                <w:b w:val="false"/>
                <w:bCs w:val="false"/>
                <w:color w:val="000000"/>
                <w:sz w:val="20"/>
                <w:szCs w:val="20"/>
              </w:rPr>
              <w:t xml:space="preserve">Architecture conformance</w:t>
            </w:r>
          </w:p>
        </w:tc>
        <w:tc>
          <w:tcPr>
            <w:tcW w:type="dxa" w:w="4650"/>
            <w:tcMar>
              <w:top w:type="dxa" w:w="100"/>
              <w:left w:type="dxa" w:w="120"/>
              <w:bottom w:type="dxa" w:w="100"/>
              <w:right w:type="dxa" w:w="120"/>
            </w:tcMar>
          </w:tcPr>
          <w:p>
            <w:r>
              <w:rPr>
                <w:b w:val="false"/>
                <w:bCs w:val="false"/>
                <w:color w:val="000000"/>
                <w:sz w:val="20"/>
                <w:szCs w:val="20"/>
              </w:rPr>
              <w:t xml:space="preserve">Does the code respect module boundaries — e.g., does the Expense Module call the Category Repository instead of querying the categories table directly?</w:t>
            </w:r>
          </w:p>
        </w:tc>
        <w:tc>
          <w:tcPr>
            <w:tcW w:type="dxa" w:w="2300"/>
            <w:tcMar>
              <w:top w:type="dxa" w:w="100"/>
              <w:left w:type="dxa" w:w="120"/>
              <w:bottom w:type="dxa" w:w="100"/>
              <w:right w:type="dxa" w:w="120"/>
            </w:tcMar>
          </w:tcPr>
          <w:p>
            <w:r>
              <w:rPr>
                <w:b w:val="false"/>
                <w:bCs w:val="false"/>
                <w:color w:val="000000"/>
                <w:sz w:val="20"/>
                <w:szCs w:val="20"/>
              </w:rPr>
              <w:t xml:space="preserve">Week 2, Section 3.4</w:t>
            </w:r>
          </w:p>
        </w:tc>
      </w:tr>
      <w:tr>
        <w:tc>
          <w:tcPr>
            <w:tcW w:type="dxa" w:w="2400"/>
            <w:tcMar>
              <w:top w:type="dxa" w:w="100"/>
              <w:left w:type="dxa" w:w="120"/>
              <w:bottom w:type="dxa" w:w="100"/>
              <w:right w:type="dxa" w:w="120"/>
            </w:tcMar>
          </w:tcPr>
          <w:p>
            <w:r>
              <w:rPr>
                <w:b w:val="false"/>
                <w:bCs w:val="false"/>
                <w:color w:val="000000"/>
                <w:sz w:val="20"/>
                <w:szCs w:val="20"/>
              </w:rPr>
              <w:t xml:space="preserve">Security</w:t>
            </w:r>
          </w:p>
        </w:tc>
        <w:tc>
          <w:tcPr>
            <w:tcW w:type="dxa" w:w="4650"/>
            <w:tcMar>
              <w:top w:type="dxa" w:w="100"/>
              <w:left w:type="dxa" w:w="120"/>
              <w:bottom w:type="dxa" w:w="100"/>
              <w:right w:type="dxa" w:w="120"/>
            </w:tcMar>
          </w:tcPr>
          <w:p>
            <w:r>
              <w:rPr>
                <w:b w:val="false"/>
                <w:bCs w:val="false"/>
                <w:color w:val="000000"/>
                <w:sz w:val="20"/>
                <w:szCs w:val="20"/>
              </w:rPr>
              <w:t xml:space="preserve">Are all database queries parameterized (no string-concatenated SQL), and is no password or JWT secret hard-coded or logged?</w:t>
            </w:r>
          </w:p>
        </w:tc>
        <w:tc>
          <w:tcPr>
            <w:tcW w:type="dxa" w:w="2300"/>
            <w:tcMar>
              <w:top w:type="dxa" w:w="100"/>
              <w:left w:type="dxa" w:w="120"/>
              <w:bottom w:type="dxa" w:w="100"/>
              <w:right w:type="dxa" w:w="120"/>
            </w:tcMar>
          </w:tcPr>
          <w:p>
            <w:r>
              <w:rPr>
                <w:b w:val="false"/>
                <w:bCs w:val="false"/>
                <w:color w:val="000000"/>
                <w:sz w:val="20"/>
                <w:szCs w:val="20"/>
              </w:rPr>
              <w:t xml:space="preserve">Week 1 SRD, NFR-2</w:t>
            </w:r>
          </w:p>
        </w:tc>
      </w:tr>
      <w:tr>
        <w:tc>
          <w:tcPr>
            <w:tcW w:type="dxa" w:w="2400"/>
            <w:tcMar>
              <w:top w:type="dxa" w:w="100"/>
              <w:left w:type="dxa" w:w="120"/>
              <w:bottom w:type="dxa" w:w="100"/>
              <w:right w:type="dxa" w:w="120"/>
            </w:tcMar>
          </w:tcPr>
          <w:p>
            <w:r>
              <w:rPr>
                <w:b w:val="false"/>
                <w:bCs w:val="false"/>
                <w:color w:val="000000"/>
                <w:sz w:val="20"/>
                <w:szCs w:val="20"/>
              </w:rPr>
              <w:t xml:space="preserve">Readability &amp; maintainability</w:t>
            </w:r>
          </w:p>
        </w:tc>
        <w:tc>
          <w:tcPr>
            <w:tcW w:type="dxa" w:w="4650"/>
            <w:tcMar>
              <w:top w:type="dxa" w:w="100"/>
              <w:left w:type="dxa" w:w="120"/>
              <w:bottom w:type="dxa" w:w="100"/>
              <w:right w:type="dxa" w:w="120"/>
            </w:tcMar>
          </w:tcPr>
          <w:p>
            <w:r>
              <w:rPr>
                <w:b w:val="false"/>
                <w:bCs w:val="false"/>
                <w:color w:val="000000"/>
                <w:sz w:val="20"/>
                <w:szCs w:val="20"/>
              </w:rPr>
              <w:t xml:space="preserve">Would a developer unfamiliar with this specific function understand it within about two minutes, without needing to ask the author?</w:t>
            </w:r>
          </w:p>
        </w:tc>
        <w:tc>
          <w:tcPr>
            <w:tcW w:type="dxa" w:w="2300"/>
            <w:tcMar>
              <w:top w:type="dxa" w:w="100"/>
              <w:left w:type="dxa" w:w="120"/>
              <w:bottom w:type="dxa" w:w="100"/>
              <w:right w:type="dxa" w:w="120"/>
            </w:tcMar>
          </w:tcPr>
          <w:p>
            <w:r>
              <w:rPr>
                <w:b w:val="false"/>
                <w:bCs w:val="false"/>
                <w:color w:val="000000"/>
                <w:sz w:val="20"/>
                <w:szCs w:val="20"/>
              </w:rPr>
              <w:t xml:space="preserve">Week 2, Section 6.3 (independent module development)</w:t>
            </w:r>
          </w:p>
        </w:tc>
      </w:tr>
    </w:tbl>
    <w:p>
      <w:pPr>
        <w:pStyle w:val="Heading2"/>
        <w:spacing w:after="160" w:before="240"/>
      </w:pPr>
      <w:r>
        <w:t xml:space="preserve">2.2 Tools for Review</w:t>
      </w:r>
    </w:p>
    <w:p>
      <w:pPr>
        <w:pStyle w:val="ListParagraph"/>
        <w:numPr>
          <w:ilvl w:val="0"/>
          <w:numId w:val="2"/>
        </w:numPr>
        <w:spacing w:after="120"/>
      </w:pPr>
      <w:r>
        <w:t xml:space="preserve">Version control diff view: all review happens against a Git diff (the specific lines changed), not the whole file, so review effort is proportional to change size.</w:t>
      </w:r>
    </w:p>
    <w:p>
      <w:pPr>
        <w:pStyle w:val="ListParagraph"/>
        <w:numPr>
          <w:ilvl w:val="0"/>
          <w:numId w:val="2"/>
        </w:numPr>
        <w:spacing w:after="120"/>
      </w:pPr>
      <w:r>
        <w:t xml:space="preserve">Automated linter (e.g., ESLint for the Node.js backend, per the Week 2 tech stack): catches style inconsistencies and common mistakes (unused variables, missing error handling) before human review begins, so the human reviewer is not spending time on issues a tool already flags.</w:t>
      </w:r>
    </w:p>
    <w:p>
      <w:pPr>
        <w:pStyle w:val="ListParagraph"/>
        <w:numPr>
          <w:ilvl w:val="0"/>
          <w:numId w:val="2"/>
        </w:numPr>
        <w:spacing w:after="120"/>
      </w:pPr>
      <w:r>
        <w:t xml:space="preserve">Static analysis for security patterns: a tool that flags likely SQL-injection patterns or hard-coded secrets is run as a gate before merge, directly enforcing the Security check in Section 2.1.</w:t>
      </w:r>
    </w:p>
    <w:p>
      <w:pPr>
        <w:pStyle w:val="ListParagraph"/>
        <w:numPr>
          <w:ilvl w:val="0"/>
          <w:numId w:val="2"/>
        </w:numPr>
        <w:spacing w:after="120"/>
      </w:pPr>
      <w:r>
        <w:t xml:space="preserve">Test coverage report: reviewed alongside the code diff to confirm the 80% coverage target from Week 4 (Section 4) is met by the new code specifically, not just the codebase average, which could hide an untested new module behind a well-tested old one.</w:t>
      </w:r>
    </w:p>
    <w:p>
      <w:pPr>
        <w:pStyle w:val="Heading2"/>
        <w:spacing w:after="160" w:before="240"/>
      </w:pPr>
      <w:r>
        <w:t xml:space="preserve">2.3 Review Workflow</w:t>
      </w:r>
    </w:p>
    <w:p>
      <w:pPr>
        <w:pStyle w:val="ListParagraph"/>
        <w:numPr>
          <w:ilvl w:val="0"/>
          <w:numId w:val="2"/>
        </w:numPr>
        <w:spacing w:after="120"/>
      </w:pPr>
      <w:r>
        <w:t xml:space="preserve">1. A module's code is considered feature-complete when it passes its own test cases (Week 4, Section 3) locally.</w:t>
      </w:r>
    </w:p>
    <w:p>
      <w:pPr>
        <w:pStyle w:val="ListParagraph"/>
        <w:numPr>
          <w:ilvl w:val="0"/>
          <w:numId w:val="2"/>
        </w:numPr>
        <w:spacing w:after="120"/>
      </w:pPr>
      <w:r>
        <w:t xml:space="preserve">2. A minimum 24-hour gap is enforced before self-review begins (carried forward from Week 4, Section 7), so review happens with fresh eyes.</w:t>
      </w:r>
    </w:p>
    <w:p>
      <w:pPr>
        <w:pStyle w:val="ListParagraph"/>
        <w:numPr>
          <w:ilvl w:val="0"/>
          <w:numId w:val="2"/>
        </w:numPr>
        <w:spacing w:after="120"/>
      </w:pPr>
      <w:r>
        <w:t xml:space="preserve">3. The automated linter and static analysis tool are run first; any findings are fixed before manual review starts.</w:t>
      </w:r>
    </w:p>
    <w:p>
      <w:pPr>
        <w:pStyle w:val="ListParagraph"/>
        <w:numPr>
          <w:ilvl w:val="0"/>
          <w:numId w:val="2"/>
        </w:numPr>
        <w:spacing w:after="120"/>
      </w:pPr>
      <w:r>
        <w:t xml:space="preserve">4. The four-category checklist (Section 2.1) is worked through line by line against the diff, with every finding written down — not just mentally noted — using the feedback format in Section 2.4.</w:t>
      </w:r>
    </w:p>
    <w:p>
      <w:pPr>
        <w:pStyle w:val="ListParagraph"/>
        <w:numPr>
          <w:ilvl w:val="0"/>
          <w:numId w:val="2"/>
        </w:numPr>
        <w:spacing w:after="120"/>
      </w:pPr>
      <w:r>
        <w:t xml:space="preserve">5. Findings are triaged using the same severity levels as Week 4's defect tracking (P1–P3, Section 6), so a review finding and a QA-discovered defect are tracked in one consistent system rather than two parallel ones.</w:t>
      </w:r>
    </w:p>
    <w:p>
      <w:pPr>
        <w:pStyle w:val="ListParagraph"/>
        <w:numPr>
          <w:ilvl w:val="0"/>
          <w:numId w:val="2"/>
        </w:numPr>
        <w:spacing w:after="120"/>
      </w:pPr>
      <w:r>
        <w:t xml:space="preserve">6. P1 findings block merge; P2 and P3 findings may be merged with a follow-up note, consistent with the response-time table already defined in Week 4.</w:t>
      </w:r>
    </w:p>
    <w:p>
      <w:pPr>
        <w:pStyle w:val="Heading2"/>
        <w:spacing w:after="160" w:before="240"/>
      </w:pPr>
      <w:r>
        <w:t xml:space="preserve">2.4 Best Practices for Feedback</w:t>
      </w:r>
    </w:p>
    <w:p>
      <w:pPr>
        <w:spacing w:after="200"/>
      </w:pPr>
      <w:r>
        <w:t xml:space="preserve">Even in self-review, feedback is written down in a specific, actionable format rather than a vague note, because a note like "this looks off" is not something a future self (or a future collaborator, if the project grows beyond one developer) can act on without re-deriving the original concern.</w:t>
      </w:r>
    </w:p>
    <w:p>
      <w:pPr>
        <w:pStyle w:val="ListParagraph"/>
        <w:numPr>
          <w:ilvl w:val="0"/>
          <w:numId w:val="2"/>
        </w:numPr>
        <w:spacing w:after="120"/>
      </w:pPr>
      <w:r>
        <w:t xml:space="preserve">State the specific line or function, not just "the expense code."</w:t>
      </w:r>
    </w:p>
    <w:p>
      <w:pPr>
        <w:pStyle w:val="ListParagraph"/>
        <w:numPr>
          <w:ilvl w:val="0"/>
          <w:numId w:val="2"/>
        </w:numPr>
        <w:spacing w:after="120"/>
      </w:pPr>
      <w:r>
        <w:t xml:space="preserve">State what is wrong and why it matters, not just that it is wrong — e.g., "this query is not parameterized, which is a SQL-injection risk per NFR-2" rather than "fix this query."</w:t>
      </w:r>
    </w:p>
    <w:p>
      <w:pPr>
        <w:pStyle w:val="ListParagraph"/>
        <w:numPr>
          <w:ilvl w:val="0"/>
          <w:numId w:val="2"/>
        </w:numPr>
        <w:spacing w:after="120"/>
      </w:pPr>
      <w:r>
        <w:t xml:space="preserve">Propose a specific fix or ask a specific question, so the finding has a clear next action rather than sitting as an open-ended concern.</w:t>
      </w:r>
    </w:p>
    <w:p>
      <w:pPr>
        <w:pStyle w:val="Heading1"/>
        <w:spacing w:after="200" w:before="360"/>
      </w:pPr>
      <w:r>
        <w:t xml:space="preserve">3. Debugging Methodology</w:t>
      </w:r>
    </w:p>
    <w:p>
      <w:pPr>
        <w:spacing w:after="200"/>
      </w:pPr>
      <w:r>
        <w:t xml:space="preserve">Debugging follows three stages — identify, isolate, resolve — mirroring the four-state defect lifecycle from Week 4 (Open → In Progress → Fixed → Closed), with each stage below mapping onto that lifecycle.</w:t>
      </w:r>
    </w:p>
    <w:p>
      <w:pPr>
        <w:pStyle w:val="Heading2"/>
        <w:spacing w:after="160" w:before="240"/>
      </w:pPr>
      <w:r>
        <w:t xml:space="preserve">3.1 Identify</w:t>
      </w:r>
    </w:p>
    <w:p>
      <w:pPr>
        <w:spacing w:after="200"/>
      </w:pPr>
      <w:r>
        <w:t xml:space="preserve">A defect enters the Identify stage the moment it is logged as Open in the Week 4 tracking sheet. The goal here is only to reproduce the symptom reliably — not yet to explain it. A defect that cannot be reproduced on demand cannot be confirmed as fixed later, so reproduction steps are written down with the same precision as the test-case format from Week 4 (Section 3): exact preconditions and exact steps, not "sometimes the total is wrong."</w:t>
      </w:r>
    </w:p>
    <w:p>
      <w:pPr>
        <w:pStyle w:val="Heading2"/>
        <w:spacing w:after="160" w:before="240"/>
      </w:pPr>
      <w:r>
        <w:t xml:space="preserve">3.2 Isolate</w:t>
      </w:r>
    </w:p>
    <w:p>
      <w:pPr>
        <w:spacing w:after="200"/>
      </w:pPr>
      <w:r>
        <w:t xml:space="preserve">Isolation narrows the defect from "somewhere in the Budget &amp; Report Module" to a specific function or line, using three tools matched to different failure types: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50"/>
      </w:tblGrid>
      <w:tr>
        <w:tc>
          <w:tcPr>
            <w:tcW w:type="dxa" w:w="2200"/>
            <w:shd w:fill="2F5496" w:val="clear"/>
            <w:tcMar>
              <w:top w:type="dxa" w:w="100"/>
              <w:left w:type="dxa" w:w="120"/>
              <w:bottom w:type="dxa" w:w="100"/>
              <w:right w:type="dxa" w:w="120"/>
            </w:tcMar>
          </w:tcPr>
          <w:p>
            <w:r>
              <w:rPr>
                <w:b/>
                <w:bCs/>
                <w:color w:val="FFFFFF"/>
                <w:sz w:val="20"/>
                <w:szCs w:val="20"/>
              </w:rPr>
              <w:t xml:space="preserve">Tool</w:t>
            </w:r>
          </w:p>
        </w:tc>
        <w:tc>
          <w:tcPr>
            <w:tcW w:type="dxa" w:w="3400"/>
            <w:shd w:fill="2F5496" w:val="clear"/>
            <w:tcMar>
              <w:top w:type="dxa" w:w="100"/>
              <w:left w:type="dxa" w:w="120"/>
              <w:bottom w:type="dxa" w:w="100"/>
              <w:right w:type="dxa" w:w="120"/>
            </w:tcMar>
          </w:tcPr>
          <w:p>
            <w:r>
              <w:rPr>
                <w:b/>
                <w:bCs/>
                <w:color w:val="FFFFFF"/>
                <w:sz w:val="20"/>
                <w:szCs w:val="20"/>
              </w:rPr>
              <w:t xml:space="preserve">Best Suited For</w:t>
            </w:r>
          </w:p>
        </w:tc>
        <w:tc>
          <w:tcPr>
            <w:tcW w:type="dxa" w:w="3750"/>
            <w:shd w:fill="2F5496" w:val="clear"/>
            <w:tcMar>
              <w:top w:type="dxa" w:w="100"/>
              <w:left w:type="dxa" w:w="120"/>
              <w:bottom w:type="dxa" w:w="100"/>
              <w:right w:type="dxa" w:w="120"/>
            </w:tcMar>
          </w:tcPr>
          <w:p>
            <w:r>
              <w:rPr>
                <w:b/>
                <w:bCs/>
                <w:color w:val="FFFFFF"/>
                <w:sz w:val="20"/>
                <w:szCs w:val="20"/>
              </w:rPr>
              <w:t xml:space="preserve">Example in PocketLedger</w:t>
            </w:r>
          </w:p>
        </w:tc>
      </w:tr>
      <w:tr>
        <w:tc>
          <w:tcPr>
            <w:tcW w:type="dxa" w:w="2200"/>
            <w:tcMar>
              <w:top w:type="dxa" w:w="100"/>
              <w:left w:type="dxa" w:w="120"/>
              <w:bottom w:type="dxa" w:w="100"/>
              <w:right w:type="dxa" w:w="120"/>
            </w:tcMar>
          </w:tcPr>
          <w:p>
            <w:r>
              <w:rPr>
                <w:b w:val="false"/>
                <w:bCs w:val="false"/>
                <w:color w:val="000000"/>
                <w:sz w:val="20"/>
                <w:szCs w:val="20"/>
              </w:rPr>
              <w:t xml:space="preserve">Structured logging</w:t>
            </w:r>
          </w:p>
        </w:tc>
        <w:tc>
          <w:tcPr>
            <w:tcW w:type="dxa" w:w="3400"/>
            <w:tcMar>
              <w:top w:type="dxa" w:w="100"/>
              <w:left w:type="dxa" w:w="120"/>
              <w:bottom w:type="dxa" w:w="100"/>
              <w:right w:type="dxa" w:w="120"/>
            </w:tcMar>
          </w:tcPr>
          <w:p>
            <w:r>
              <w:rPr>
                <w:b w:val="false"/>
                <w:bCs w:val="false"/>
                <w:color w:val="000000"/>
                <w:sz w:val="20"/>
                <w:szCs w:val="20"/>
              </w:rPr>
              <w:t xml:space="preserve">Tracing the flow of data across module boundaries (Week 2, Section 3), where the defect may be in how one module passes data to another rather than inside either module alone</w:t>
            </w:r>
          </w:p>
        </w:tc>
        <w:tc>
          <w:tcPr>
            <w:tcW w:type="dxa" w:w="3750"/>
            <w:tcMar>
              <w:top w:type="dxa" w:w="100"/>
              <w:left w:type="dxa" w:w="120"/>
              <w:bottom w:type="dxa" w:w="100"/>
              <w:right w:type="dxa" w:w="120"/>
            </w:tcMar>
          </w:tcPr>
          <w:p>
            <w:r>
              <w:rPr>
                <w:b w:val="false"/>
                <w:bCs w:val="false"/>
                <w:color w:val="000000"/>
                <w:sz w:val="20"/>
                <w:szCs w:val="20"/>
              </w:rPr>
              <w:t xml:space="preserve">Logging the exact value returned by the Expense Repository right before it enters the Budget &amp; Report Module's aggregation function, to confirm whether bad data enters already-wrong or becomes wrong during aggregation</w:t>
            </w:r>
          </w:p>
        </w:tc>
      </w:tr>
      <w:tr>
        <w:tc>
          <w:tcPr>
            <w:tcW w:type="dxa" w:w="2200"/>
            <w:tcMar>
              <w:top w:type="dxa" w:w="100"/>
              <w:left w:type="dxa" w:w="120"/>
              <w:bottom w:type="dxa" w:w="100"/>
              <w:right w:type="dxa" w:w="120"/>
            </w:tcMar>
          </w:tcPr>
          <w:p>
            <w:r>
              <w:rPr>
                <w:b w:val="false"/>
                <w:bCs w:val="false"/>
                <w:color w:val="000000"/>
                <w:sz w:val="20"/>
                <w:szCs w:val="20"/>
              </w:rPr>
              <w:t xml:space="preserve">Breakpoints / step debugging</w:t>
            </w:r>
          </w:p>
        </w:tc>
        <w:tc>
          <w:tcPr>
            <w:tcW w:type="dxa" w:w="3400"/>
            <w:tcMar>
              <w:top w:type="dxa" w:w="100"/>
              <w:left w:type="dxa" w:w="120"/>
              <w:bottom w:type="dxa" w:w="100"/>
              <w:right w:type="dxa" w:w="120"/>
            </w:tcMar>
          </w:tcPr>
          <w:p>
            <w:r>
              <w:rPr>
                <w:b w:val="false"/>
                <w:bCs w:val="false"/>
                <w:color w:val="000000"/>
                <w:sz w:val="20"/>
                <w:szCs w:val="20"/>
              </w:rPr>
              <w:t xml:space="preserve">Logic errors inside a single function where the exact sequence of operations needs to be inspected step by step</w:t>
            </w:r>
          </w:p>
        </w:tc>
        <w:tc>
          <w:tcPr>
            <w:tcW w:type="dxa" w:w="3750"/>
            <w:tcMar>
              <w:top w:type="dxa" w:w="100"/>
              <w:left w:type="dxa" w:w="120"/>
              <w:bottom w:type="dxa" w:w="100"/>
              <w:right w:type="dxa" w:w="120"/>
            </w:tcMar>
          </w:tcPr>
          <w:p>
            <w:r>
              <w:rPr>
                <w:b w:val="false"/>
                <w:bCs w:val="false"/>
                <w:color w:val="000000"/>
                <w:sz w:val="20"/>
                <w:szCs w:val="20"/>
              </w:rPr>
              <w:t xml:space="preserve">Stepping through the budget-percentage calculation line by line to find exactly where a value of 79.99% is being rounded to 80% prematurely</w:t>
            </w:r>
          </w:p>
        </w:tc>
      </w:tr>
      <w:tr>
        <w:tc>
          <w:tcPr>
            <w:tcW w:type="dxa" w:w="2200"/>
            <w:tcMar>
              <w:top w:type="dxa" w:w="100"/>
              <w:left w:type="dxa" w:w="120"/>
              <w:bottom w:type="dxa" w:w="100"/>
              <w:right w:type="dxa" w:w="120"/>
            </w:tcMar>
          </w:tcPr>
          <w:p>
            <w:r>
              <w:rPr>
                <w:b w:val="false"/>
                <w:bCs w:val="false"/>
                <w:color w:val="000000"/>
                <w:sz w:val="20"/>
                <w:szCs w:val="20"/>
              </w:rPr>
              <w:t xml:space="preserve">Automated error tracking (uncaught exceptions)</w:t>
            </w:r>
          </w:p>
        </w:tc>
        <w:tc>
          <w:tcPr>
            <w:tcW w:type="dxa" w:w="3400"/>
            <w:tcMar>
              <w:top w:type="dxa" w:w="100"/>
              <w:left w:type="dxa" w:w="120"/>
              <w:bottom w:type="dxa" w:w="100"/>
              <w:right w:type="dxa" w:w="120"/>
            </w:tcMar>
          </w:tcPr>
          <w:p>
            <w:r>
              <w:rPr>
                <w:b w:val="false"/>
                <w:bCs w:val="false"/>
                <w:color w:val="000000"/>
                <w:sz w:val="20"/>
                <w:szCs w:val="20"/>
              </w:rPr>
              <w:t xml:space="preserve">Failures that happen in production but were not caught by any existing test case</w:t>
            </w:r>
          </w:p>
        </w:tc>
        <w:tc>
          <w:tcPr>
            <w:tcW w:type="dxa" w:w="3750"/>
            <w:tcMar>
              <w:top w:type="dxa" w:w="100"/>
              <w:left w:type="dxa" w:w="120"/>
              <w:bottom w:type="dxa" w:w="100"/>
              <w:right w:type="dxa" w:w="120"/>
            </w:tcMar>
          </w:tcPr>
          <w:p>
            <w:r>
              <w:rPr>
                <w:b w:val="false"/>
                <w:bCs w:val="false"/>
                <w:color w:val="000000"/>
                <w:sz w:val="20"/>
                <w:szCs w:val="20"/>
              </w:rPr>
              <w:t xml:space="preserve">An uncaught exception on a malformed CSV export request reveals an edge case (e.g., a category name containing a comma) that Week 4's INT-02 test case did not cover</w:t>
            </w:r>
          </w:p>
        </w:tc>
      </w:tr>
    </w:tbl>
    <w:p>
      <w:pPr>
        <w:pStyle w:val="Heading2"/>
        <w:spacing w:after="160" w:before="240"/>
      </w:pPr>
      <w:r>
        <w:t xml:space="preserve">3.3 Resolve</w:t>
      </w:r>
    </w:p>
    <w:p>
      <w:pPr>
        <w:spacing w:after="200"/>
      </w:pPr>
      <w:r>
        <w:t xml:space="preserve">A fix is only considered complete when three conditions are met, directly extending the Week 4 defect lifecycle's requirement that closure requires independent retesting rather than the same run that found the bug:</w:t>
      </w:r>
    </w:p>
    <w:p>
      <w:pPr>
        <w:pStyle w:val="ListParagraph"/>
        <w:numPr>
          <w:ilvl w:val="0"/>
          <w:numId w:val="2"/>
        </w:numPr>
        <w:spacing w:after="120"/>
      </w:pPr>
      <w:r>
        <w:t xml:space="preserve">The original reproduction steps (from Section 3.1) no longer reproduce the symptom.</w:t>
      </w:r>
    </w:p>
    <w:p>
      <w:pPr>
        <w:pStyle w:val="ListParagraph"/>
        <w:numPr>
          <w:ilvl w:val="0"/>
          <w:numId w:val="2"/>
        </w:numPr>
        <w:spacing w:after="120"/>
      </w:pPr>
      <w:r>
        <w:t xml:space="preserve">A new automated test case is added that would have caught this specific defect, so the same class of bug cannot silently reappear later — this is the concrete link between debugging and the 80% coverage target in Week 4, Section 4.</w:t>
      </w:r>
    </w:p>
    <w:p>
      <w:pPr>
        <w:pStyle w:val="ListParagraph"/>
        <w:numPr>
          <w:ilvl w:val="0"/>
          <w:numId w:val="2"/>
        </w:numPr>
        <w:spacing w:after="120"/>
      </w:pPr>
      <w:r>
        <w:t xml:space="preserve">The fix is reviewed using the same checklist in Section 2.1 before being marked Fixed, since a rushed bug fix is a common source of new P2/P3 defects introduced while resolving a P1.</w:t>
      </w:r>
    </w:p>
    <w:p>
      <w:pPr>
        <w:pStyle w:val="Heading1"/>
        <w:spacing w:after="200" w:before="360"/>
      </w:pPr>
      <w:r>
        <w:t xml:space="preserve">4. Documentation and Reporting</w:t>
      </w:r>
    </w:p>
    <w:p>
      <w:pPr>
        <w:spacing w:after="200"/>
      </w:pPr>
      <w:r>
        <w:t xml:space="preserve">This section extends the defect-tracking sheet already defined in Week 4 (Section 6) rather than introducing a separate system, adding two fields specific to root-cause tracking and long-term prevention.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0"/>
        <w:gridCol w:w="4850"/>
      </w:tblGrid>
      <w:tr>
        <w:tc>
          <w:tcPr>
            <w:tcW w:type="dxa" w:w="4500"/>
            <w:shd w:fill="2F5496" w:val="clear"/>
            <w:tcMar>
              <w:top w:type="dxa" w:w="100"/>
              <w:left w:type="dxa" w:w="120"/>
              <w:bottom w:type="dxa" w:w="100"/>
              <w:right w:type="dxa" w:w="120"/>
            </w:tcMar>
          </w:tcPr>
          <w:p>
            <w:r>
              <w:rPr>
                <w:b/>
                <w:bCs/>
                <w:color w:val="FFFFFF"/>
                <w:sz w:val="20"/>
                <w:szCs w:val="20"/>
              </w:rPr>
              <w:t xml:space="preserve">Field (new, in addition to Week 4's sheet)</w:t>
            </w:r>
          </w:p>
        </w:tc>
        <w:tc>
          <w:tcPr>
            <w:tcW w:type="dxa" w:w="4850"/>
            <w:shd w:fill="2F5496" w:val="clear"/>
            <w:tcMar>
              <w:top w:type="dxa" w:w="100"/>
              <w:left w:type="dxa" w:w="120"/>
              <w:bottom w:type="dxa" w:w="100"/>
              <w:right w:type="dxa" w:w="120"/>
            </w:tcMar>
          </w:tcPr>
          <w:p>
            <w:r>
              <w:rPr>
                <w:b/>
                <w:bCs/>
                <w:color w:val="FFFFFF"/>
                <w:sz w:val="20"/>
                <w:szCs w:val="20"/>
              </w:rPr>
              <w:t xml:space="preserve">Purpose</w:t>
            </w:r>
          </w:p>
        </w:tc>
      </w:tr>
      <w:tr>
        <w:tc>
          <w:tcPr>
            <w:tcW w:type="dxa" w:w="4500"/>
            <w:tcMar>
              <w:top w:type="dxa" w:w="100"/>
              <w:left w:type="dxa" w:w="120"/>
              <w:bottom w:type="dxa" w:w="100"/>
              <w:right w:type="dxa" w:w="120"/>
            </w:tcMar>
          </w:tcPr>
          <w:p>
            <w:r>
              <w:rPr>
                <w:b w:val="false"/>
                <w:bCs w:val="false"/>
                <w:color w:val="000000"/>
                <w:sz w:val="20"/>
                <w:szCs w:val="20"/>
              </w:rPr>
              <w:t xml:space="preserve">Root Cause</w:t>
            </w:r>
          </w:p>
        </w:tc>
        <w:tc>
          <w:tcPr>
            <w:tcW w:type="dxa" w:w="4850"/>
            <w:tcMar>
              <w:top w:type="dxa" w:w="100"/>
              <w:left w:type="dxa" w:w="120"/>
              <w:bottom w:type="dxa" w:w="100"/>
              <w:right w:type="dxa" w:w="120"/>
            </w:tcMar>
          </w:tcPr>
          <w:p>
            <w:r>
              <w:rPr>
                <w:b w:val="false"/>
                <w:bCs w:val="false"/>
                <w:color w:val="000000"/>
                <w:sz w:val="20"/>
                <w:szCs w:val="20"/>
              </w:rPr>
              <w:t xml:space="preserve">A one-sentence technical explanation of why the defect happened (e.g., "percentage comparison used &gt; instead of &gt;="), distinct from the symptom description already captured in Week 4's summary field</w:t>
            </w:r>
          </w:p>
        </w:tc>
      </w:tr>
      <w:tr>
        <w:tc>
          <w:tcPr>
            <w:tcW w:type="dxa" w:w="4500"/>
            <w:tcMar>
              <w:top w:type="dxa" w:w="100"/>
              <w:left w:type="dxa" w:w="120"/>
              <w:bottom w:type="dxa" w:w="100"/>
              <w:right w:type="dxa" w:w="120"/>
            </w:tcMar>
          </w:tcPr>
          <w:p>
            <w:r>
              <w:rPr>
                <w:b w:val="false"/>
                <w:bCs w:val="false"/>
                <w:color w:val="000000"/>
                <w:sz w:val="20"/>
                <w:szCs w:val="20"/>
              </w:rPr>
              <w:t xml:space="preserve">Prevention Action</w:t>
            </w:r>
          </w:p>
        </w:tc>
        <w:tc>
          <w:tcPr>
            <w:tcW w:type="dxa" w:w="4850"/>
            <w:tcMar>
              <w:top w:type="dxa" w:w="100"/>
              <w:left w:type="dxa" w:w="120"/>
              <w:bottom w:type="dxa" w:w="100"/>
              <w:right w:type="dxa" w:w="120"/>
            </w:tcMar>
          </w:tcPr>
          <w:p>
            <w:r>
              <w:rPr>
                <w:b w:val="false"/>
                <w:bCs w:val="false"/>
                <w:color w:val="000000"/>
                <w:sz w:val="20"/>
                <w:szCs w:val="20"/>
              </w:rPr>
              <w:t xml:space="preserve">What was added to stop recurrence — typically a reference to the new test case ID added per Section 3.3 (e.g., "see BUD-05b")</w:t>
            </w:r>
          </w:p>
        </w:tc>
      </w:tr>
    </w:tbl>
    <w:p>
      <w:pPr>
        <w:spacing w:after="200"/>
      </w:pPr>
      <w:r>
        <w:t xml:space="preserve">Long-term issues — defects that recur across multiple sprints, or a root cause that appears in more than one module — are reviewed at each milestone checkpoint (Week 3 roadmap, Section 3) rather than only when they first occur. If the same root cause appears twice (e.g., two separate off-by-one errors in two different percentage calculations), this is treated as a pattern worth a dedicated fix — such as extracting a single, well-tested percentage-threshold utility function used by every module — rather than two unrelated bugs fixed independently.</w:t>
      </w:r>
    </w:p>
    <w:p>
      <w:pPr>
        <w:pStyle w:val="Heading1"/>
        <w:spacing w:after="200" w:before="360"/>
      </w:pPr>
      <w:r>
        <w:t xml:space="preserve">5. Collaboration Techniques</w:t>
      </w:r>
    </w:p>
    <w:p>
      <w:pPr>
        <w:spacing w:after="200"/>
      </w:pPr>
      <w:r>
        <w:t xml:space="preserve">PocketLedger is currently a solo project, so this section describes how the process above would extend to a remote or virtual team, since the internship task specifically calls for this even without a current second developer.</w:t>
      </w:r>
    </w:p>
    <w:p>
      <w:pPr>
        <w:pStyle w:val="ListParagraph"/>
        <w:numPr>
          <w:ilvl w:val="0"/>
          <w:numId w:val="2"/>
        </w:numPr>
        <w:spacing w:after="120"/>
      </w:pPr>
      <w:r>
        <w:t xml:space="preserve">Asynchronous review by default: written, threaded comments on specific diff lines (as described in Section 2.2) rather than requiring a live meeting for every review, since a distributed team cannot rely on everyone being online simultaneously.</w:t>
      </w:r>
    </w:p>
    <w:p>
      <w:pPr>
        <w:pStyle w:val="ListParagraph"/>
        <w:numPr>
          <w:ilvl w:val="0"/>
          <w:numId w:val="2"/>
        </w:numPr>
        <w:spacing w:after="120"/>
      </w:pPr>
      <w:r>
        <w:t xml:space="preserve">A written Definition of Done (already established per-sprint in Week 3, Section 4.2) removes ambiguity about when a reviewer should expect a module to be ready, which matters more in remote settings where a quick in-person clarifying question is not available.</w:t>
      </w:r>
    </w:p>
    <w:p>
      <w:pPr>
        <w:pStyle w:val="ListParagraph"/>
        <w:numPr>
          <w:ilvl w:val="0"/>
          <w:numId w:val="2"/>
        </w:numPr>
        <w:spacing w:after="120"/>
      </w:pPr>
      <w:r>
        <w:t xml:space="preserve">Shared, written reproduction steps (Section 3.1) instead of verbal bug reports — a written, exact reproduction case can be handed to any team member in any time zone without a live handoff conversation.</w:t>
      </w:r>
    </w:p>
    <w:p>
      <w:pPr>
        <w:pStyle w:val="ListParagraph"/>
        <w:numPr>
          <w:ilvl w:val="0"/>
          <w:numId w:val="2"/>
        </w:numPr>
        <w:spacing w:after="120"/>
      </w:pPr>
      <w:r>
        <w:t xml:space="preserve">A shared defect-tracking sheet (Week 4, Section 6, extended in Section 4 here) as the single source of truth for status, rather than defect status being tracked in chat messages that get lost in scrollback.</w:t>
      </w:r>
    </w:p>
    <w:p>
      <w:pPr>
        <w:pStyle w:val="Heading1"/>
        <w:spacing w:after="200" w:before="360"/>
      </w:pPr>
      <w:r>
        <w:t xml:space="preserve">6. Case Studies</w:t>
      </w:r>
    </w:p>
    <w:p>
      <w:pPr>
        <w:pStyle w:val="Heading2"/>
        <w:spacing w:after="160" w:before="240"/>
      </w:pPr>
      <w:r>
        <w:t xml:space="preserve">Case Study A: Code Review Catching an Architecture Violation</w:t>
      </w:r>
    </w:p>
    <w:p>
      <w:pPr>
        <w:spacing w:after="200"/>
      </w:pPr>
      <w:r>
        <w:t xml:space="preserve">While implementing Sprint 2 (Expense Module, per the Week 3 roadmap), a first draft of the "delete expense" endpoint queried the categories table directly to check whether a category still existed, instead of calling the Category &amp; Budget Repository as required by the layered architecture (Week 2, Section 3.4). The code passed all of its own unit tests, since the direct query still returned correct results — the defect was architectural, not functional, which is exactly why the four-category review checklist (Section 2.1) includes "architecture conformance" as a category separate from correctness. Self-review (following the 24-hour gap in Section 2.3) caught this by checking the diff against Section 2.1's architecture-conformance question. The fix replaced the direct query with a call to the existing repository function, with no change in test results — confirming the defect would have shipped invisibly without an explicit architecture check, since tests alone do not verify which layer a query was issued from.</w:t>
      </w:r>
    </w:p>
    <w:p>
      <w:pPr>
        <w:pStyle w:val="Heading2"/>
        <w:spacing w:after="160" w:before="240"/>
      </w:pPr>
      <w:r>
        <w:t xml:space="preserve">Case Study B: Debugging a Root Cause Instead of a Symptom</w:t>
      </w:r>
    </w:p>
    <w:p>
      <w:pPr>
        <w:spacing w:after="200"/>
      </w:pPr>
      <w:r>
        <w:t xml:space="preserve">During Testing &amp; QA (Week 4 test case BUD-05), the budget-status flag was observed flipping to "warning" one paisa too early — at ₹11,999.99 instead of exactly ₹12,000 (80% of a ₹15,000 budget). The Identify stage (Section 3.1) reproduced this reliably with a fixed test amount. The Isolate stage used breakpoint debugging (Section 3.2) on the percentage-calculation function and found the comparison used (amount / budget) &gt; 0.7999 instead of &gt;= 0.8 — a hard-coded approximation of 80% that was slightly wrong, rather than a fundamentally broken calculation. Resolving the symptom alone (changing 0.7999 to 0.8) would have been incomplete under this document's definition of Resolve (Section 3.3): a new test case (BUD-05b) was added asserting the exact boundary value 0.8 specifically, and the Root Cause field (Section 4) recorded "hard-coded decimal approximation instead of an exact fraction," prompting a Prevention Action of replacing all threshold comparisons in the Budget &amp; Report Module with exact fractions rather than decimal literals — addressing the pattern, not just this one instance.</w:t>
      </w:r>
    </w:p>
    <w:p>
      <w:pPr>
        <w:pStyle w:val="Heading1"/>
        <w:spacing w:after="200" w:before="360"/>
      </w:pPr>
      <w:r>
        <w:t xml:space="preserve">7. Conclusion</w:t>
      </w:r>
    </w:p>
    <w:p>
      <w:pPr>
        <w:spacing w:after="200"/>
      </w:pPr>
      <w:r>
        <w:t xml:space="preserve">This document formalizes code review and debugging as connected, structured processes rather than ad hoc activities, extending Week 4's defect tracking and self-review outline into a complete workflow with specific tools, a three-stage debugging methodology tied to the existing defect lifecycle, and documentation fields that capture root cause and prevention rather than only symptoms. The two case studies demonstrate both processes catching a real class of defect each — an architecture violation invisible to tests, and a boundary-value defect visible only through precise reproduction. Combined with the Week 1 through Week 4 documents, PocketLedger's process documentation is now complete across requirements, architecture, roadmap, testing, and quality maintenance.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2026-08-30T15:40:09.055Z</dcterms:created>
  <dcterms:modified xsi:type="dcterms:W3CDTF">2026-08-30T15:40:09.071Z</dcterms:modified>
</cp:coreProperties>
</file>

<file path=docProps/custom.xml><?xml version="1.0" encoding="utf-8"?>
<Properties xmlns="http://schemas.openxmlformats.org/officeDocument/2006/custom-properties" xmlns:vt="http://schemas.openxmlformats.org/officeDocument/2006/docPropsVTypes"/>
</file>