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b/>
          <w:bCs/>
          <w:sz w:val="36"/>
          <w:szCs w:val="36"/>
        </w:rPr>
        <w:t xml:space="preserve">Comprehensive Testing Strategy and Quality Assurance Plan</w:t>
      </w:r>
    </w:p>
    <w:p>
      <w:pPr>
        <w:spacing w:after="100"/>
        <w:jc w:val="center"/>
      </w:pPr>
      <w:r>
        <w:rPr>
          <w:sz w:val="28"/>
          <w:szCs w:val="28"/>
        </w:rPr>
        <w:t xml:space="preserve">Project: PocketLedger — Personal Expense Tracker</w:t>
      </w:r>
    </w:p>
    <w:p>
      <w:pPr>
        <w:spacing w:after="100"/>
        <w:jc w:val="center"/>
      </w:pPr>
      <w:r>
        <w:rPr>
          <w:color w:val="555555"/>
          <w:sz w:val="24"/>
          <w:szCs w:val="24"/>
        </w:rPr>
        <w:t xml:space="preserve">Prepared by: Varsha</w:t>
      </w:r>
    </w:p>
    <w:p>
      <w:pPr>
        <w:spacing w:after="100"/>
        <w:jc w:val="center"/>
      </w:pPr>
      <w:r>
        <w:rPr>
          <w:color w:val="555555"/>
          <w:sz w:val="24"/>
          <w:szCs w:val="24"/>
        </w:rPr>
        <w:t xml:space="preserve">Role: Junior Software Developer Intern</w:t>
      </w:r>
    </w:p>
    <w:p>
      <w:pPr>
        <w:jc w:val="center"/>
      </w:pPr>
      <w:r>
        <w:rPr>
          <w:color w:val="555555"/>
          <w:sz w:val="24"/>
          <w:szCs w:val="24"/>
        </w:rPr>
        <w:t xml:space="preserve">Version 1.0 — Week 4 Deliverable</w:t>
      </w:r>
    </w:p>
    <w:p>
      <w:r>
        <w:br w:type="page"/>
      </w:r>
    </w:p>
    <w:p>
      <w:pPr>
        <w:pStyle w:val="Heading1"/>
        <w:spacing w:after="200" w:before="360"/>
      </w:pPr>
      <w:r>
        <w:t xml:space="preserve">1. Introduction</w:t>
      </w:r>
    </w:p>
    <w:p>
      <w:pPr>
        <w:spacing w:after="200"/>
      </w:pPr>
      <w:r>
        <w:t xml:space="preserve">This document defines the testing strategy and quality assurance (QA) plan for PocketLedger, building on the module breakdown from the Week 2 architecture document and the sprint-level testing notes from the Week 3 roadmap. It expands those notes into a complete framework covering all testing levels, concrete sample test cases per module, measurable QA metrics, an automated-versus-manual testing policy, a defect tracking process, and a code review process. The goal is a plan specific enough that a developer could execute it without needing to invent testing approaches on the fly.</w:t>
      </w:r>
    </w:p>
    <w:p>
      <w:pPr>
        <w:pStyle w:val="Heading1"/>
        <w:spacing w:after="200" w:before="360"/>
      </w:pPr>
      <w:r>
        <w:t xml:space="preserve">2. Testing Framework</w:t>
      </w:r>
    </w:p>
    <w:p>
      <w:pPr>
        <w:spacing w:after="200"/>
      </w:pPr>
      <w:r>
        <w:t xml:space="preserve">Testing is organized into four levels, each catching a different class of defect. Lower levels run more frequently and cheaply; higher levels run less often but catch problems that only appear when real components interact.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2350"/>
        <w:gridCol w:w="1400"/>
      </w:tblGrid>
      <w:tr>
        <w:tc>
          <w:tcPr>
            <w:tcW w:type="dxa" w:w="1800"/>
            <w:shd w:fill="2F5496" w:val="clear"/>
            <w:tcMar>
              <w:top w:type="dxa" w:w="100"/>
              <w:left w:type="dxa" w:w="120"/>
              <w:bottom w:type="dxa" w:w="100"/>
              <w:right w:type="dxa" w:w="120"/>
            </w:tcMar>
          </w:tcPr>
          <w:p>
            <w:r>
              <w:rPr>
                <w:b/>
                <w:bCs/>
                <w:color w:val="FFFFFF"/>
                <w:sz w:val="20"/>
                <w:szCs w:val="20"/>
              </w:rPr>
              <w:t xml:space="preserve">Level</w:t>
            </w:r>
          </w:p>
        </w:tc>
        <w:tc>
          <w:tcPr>
            <w:tcW w:type="dxa" w:w="3800"/>
            <w:shd w:fill="2F5496" w:val="clear"/>
            <w:tcMar>
              <w:top w:type="dxa" w:w="100"/>
              <w:left w:type="dxa" w:w="120"/>
              <w:bottom w:type="dxa" w:w="100"/>
              <w:right w:type="dxa" w:w="120"/>
            </w:tcMar>
          </w:tcPr>
          <w:p>
            <w:r>
              <w:rPr>
                <w:b/>
                <w:bCs/>
                <w:color w:val="FFFFFF"/>
                <w:sz w:val="20"/>
                <w:szCs w:val="20"/>
              </w:rPr>
              <w:t xml:space="preserve">Scope</w:t>
            </w:r>
          </w:p>
        </w:tc>
        <w:tc>
          <w:tcPr>
            <w:tcW w:type="dxa" w:w="2350"/>
            <w:shd w:fill="2F5496" w:val="clear"/>
            <w:tcMar>
              <w:top w:type="dxa" w:w="100"/>
              <w:left w:type="dxa" w:w="120"/>
              <w:bottom w:type="dxa" w:w="100"/>
              <w:right w:type="dxa" w:w="120"/>
            </w:tcMar>
          </w:tcPr>
          <w:p>
            <w:r>
              <w:rPr>
                <w:b/>
                <w:bCs/>
                <w:color w:val="FFFFFF"/>
                <w:sz w:val="20"/>
                <w:szCs w:val="20"/>
              </w:rPr>
              <w:t xml:space="preserve">Run Frequency</w:t>
            </w:r>
          </w:p>
        </w:tc>
        <w:tc>
          <w:tcPr>
            <w:tcW w:type="dxa" w:w="1400"/>
            <w:shd w:fill="2F5496" w:val="clear"/>
            <w:tcMar>
              <w:top w:type="dxa" w:w="100"/>
              <w:left w:type="dxa" w:w="120"/>
              <w:bottom w:type="dxa" w:w="100"/>
              <w:right w:type="dxa" w:w="120"/>
            </w:tcMar>
          </w:tcPr>
          <w:p>
            <w:r>
              <w:rPr>
                <w:b/>
                <w:bCs/>
                <w:color w:val="FFFFFF"/>
                <w:sz w:val="20"/>
                <w:szCs w:val="20"/>
              </w:rPr>
              <w:t xml:space="preserve">Owner</w:t>
            </w:r>
          </w:p>
        </w:tc>
      </w:tr>
      <w:tr>
        <w:tc>
          <w:tcPr>
            <w:tcW w:type="dxa" w:w="1800"/>
            <w:tcMar>
              <w:top w:type="dxa" w:w="100"/>
              <w:left w:type="dxa" w:w="120"/>
              <w:bottom w:type="dxa" w:w="100"/>
              <w:right w:type="dxa" w:w="120"/>
            </w:tcMar>
          </w:tcPr>
          <w:p>
            <w:r>
              <w:rPr>
                <w:b w:val="false"/>
                <w:bCs w:val="false"/>
                <w:color w:val="000000"/>
                <w:sz w:val="20"/>
                <w:szCs w:val="20"/>
              </w:rPr>
              <w:t xml:space="preserve">Unit Testing</w:t>
            </w:r>
          </w:p>
        </w:tc>
        <w:tc>
          <w:tcPr>
            <w:tcW w:type="dxa" w:w="3800"/>
            <w:tcMar>
              <w:top w:type="dxa" w:w="100"/>
              <w:left w:type="dxa" w:w="120"/>
              <w:bottom w:type="dxa" w:w="100"/>
              <w:right w:type="dxa" w:w="120"/>
            </w:tcMar>
          </w:tcPr>
          <w:p>
            <w:r>
              <w:rPr>
                <w:b w:val="false"/>
                <w:bCs w:val="false"/>
                <w:color w:val="000000"/>
                <w:sz w:val="20"/>
                <w:szCs w:val="20"/>
              </w:rPr>
              <w:t xml:space="preserve">Individual functions in isolation (e.g., a single validation rule, a single budget-percentage calculation)</w:t>
            </w:r>
          </w:p>
        </w:tc>
        <w:tc>
          <w:tcPr>
            <w:tcW w:type="dxa" w:w="2350"/>
            <w:tcMar>
              <w:top w:type="dxa" w:w="100"/>
              <w:left w:type="dxa" w:w="120"/>
              <w:bottom w:type="dxa" w:w="100"/>
              <w:right w:type="dxa" w:w="120"/>
            </w:tcMar>
          </w:tcPr>
          <w:p>
            <w:r>
              <w:rPr>
                <w:b w:val="false"/>
                <w:bCs w:val="false"/>
                <w:color w:val="000000"/>
                <w:sz w:val="20"/>
                <w:szCs w:val="20"/>
              </w:rPr>
              <w:t xml:space="preserve">On every code change (local, before commit)</w:t>
            </w:r>
          </w:p>
        </w:tc>
        <w:tc>
          <w:tcPr>
            <w:tcW w:type="dxa" w:w="1400"/>
            <w:tcMar>
              <w:top w:type="dxa" w:w="100"/>
              <w:left w:type="dxa" w:w="120"/>
              <w:bottom w:type="dxa" w:w="100"/>
              <w:right w:type="dxa" w:w="120"/>
            </w:tcMar>
          </w:tcPr>
          <w:p>
            <w:r>
              <w:rPr>
                <w:b w:val="false"/>
                <w:bCs w:val="false"/>
                <w:color w:val="000000"/>
                <w:sz w:val="20"/>
                <w:szCs w:val="20"/>
              </w:rPr>
              <w:t xml:space="preserve">Developer writing the code</w:t>
            </w:r>
          </w:p>
        </w:tc>
      </w:tr>
      <w:tr>
        <w:tc>
          <w:tcPr>
            <w:tcW w:type="dxa" w:w="1800"/>
            <w:tcMar>
              <w:top w:type="dxa" w:w="100"/>
              <w:left w:type="dxa" w:w="120"/>
              <w:bottom w:type="dxa" w:w="100"/>
              <w:right w:type="dxa" w:w="120"/>
            </w:tcMar>
          </w:tcPr>
          <w:p>
            <w:r>
              <w:rPr>
                <w:b w:val="false"/>
                <w:bCs w:val="false"/>
                <w:color w:val="000000"/>
                <w:sz w:val="20"/>
                <w:szCs w:val="20"/>
              </w:rPr>
              <w:t xml:space="preserve">Integration Testing</w:t>
            </w:r>
          </w:p>
        </w:tc>
        <w:tc>
          <w:tcPr>
            <w:tcW w:type="dxa" w:w="3800"/>
            <w:tcMar>
              <w:top w:type="dxa" w:w="100"/>
              <w:left w:type="dxa" w:w="120"/>
              <w:bottom w:type="dxa" w:w="100"/>
              <w:right w:type="dxa" w:w="120"/>
            </w:tcMar>
          </w:tcPr>
          <w:p>
            <w:r>
              <w:rPr>
                <w:b w:val="false"/>
                <w:bCs w:val="false"/>
                <w:color w:val="000000"/>
                <w:sz w:val="20"/>
                <w:szCs w:val="20"/>
              </w:rPr>
              <w:t xml:space="preserve">Interaction between two or more modules (e.g., Expense Module calling the Category Repository)</w:t>
            </w:r>
          </w:p>
        </w:tc>
        <w:tc>
          <w:tcPr>
            <w:tcW w:type="dxa" w:w="2350"/>
            <w:tcMar>
              <w:top w:type="dxa" w:w="100"/>
              <w:left w:type="dxa" w:w="120"/>
              <w:bottom w:type="dxa" w:w="100"/>
              <w:right w:type="dxa" w:w="120"/>
            </w:tcMar>
          </w:tcPr>
          <w:p>
            <w:r>
              <w:rPr>
                <w:b w:val="false"/>
                <w:bCs w:val="false"/>
                <w:color w:val="000000"/>
                <w:sz w:val="20"/>
                <w:szCs w:val="20"/>
              </w:rPr>
              <w:t xml:space="preserve">After each sprint, per the Week 3 roadmap</w:t>
            </w:r>
          </w:p>
        </w:tc>
        <w:tc>
          <w:tcPr>
            <w:tcW w:type="dxa" w:w="1400"/>
            <w:tcMar>
              <w:top w:type="dxa" w:w="100"/>
              <w:left w:type="dxa" w:w="120"/>
              <w:bottom w:type="dxa" w:w="100"/>
              <w:right w:type="dxa" w:w="120"/>
            </w:tcMar>
          </w:tcPr>
          <w:p>
            <w:r>
              <w:rPr>
                <w:b w:val="false"/>
                <w:bCs w:val="false"/>
                <w:color w:val="000000"/>
                <w:sz w:val="20"/>
                <w:szCs w:val="20"/>
              </w:rPr>
              <w:t xml:space="preserve">Developer, using a test database</w:t>
            </w:r>
          </w:p>
        </w:tc>
      </w:tr>
      <w:tr>
        <w:tc>
          <w:tcPr>
            <w:tcW w:type="dxa" w:w="1800"/>
            <w:tcMar>
              <w:top w:type="dxa" w:w="100"/>
              <w:left w:type="dxa" w:w="120"/>
              <w:bottom w:type="dxa" w:w="100"/>
              <w:right w:type="dxa" w:w="120"/>
            </w:tcMar>
          </w:tcPr>
          <w:p>
            <w:r>
              <w:rPr>
                <w:b w:val="false"/>
                <w:bCs w:val="false"/>
                <w:color w:val="000000"/>
                <w:sz w:val="20"/>
                <w:szCs w:val="20"/>
              </w:rPr>
              <w:t xml:space="preserve">System Testing</w:t>
            </w:r>
          </w:p>
        </w:tc>
        <w:tc>
          <w:tcPr>
            <w:tcW w:type="dxa" w:w="3800"/>
            <w:tcMar>
              <w:top w:type="dxa" w:w="100"/>
              <w:left w:type="dxa" w:w="120"/>
              <w:bottom w:type="dxa" w:w="100"/>
              <w:right w:type="dxa" w:w="120"/>
            </w:tcMar>
          </w:tcPr>
          <w:p>
            <w:r>
              <w:rPr>
                <w:b w:val="false"/>
                <w:bCs w:val="false"/>
                <w:color w:val="000000"/>
                <w:sz w:val="20"/>
                <w:szCs w:val="20"/>
              </w:rPr>
              <w:t xml:space="preserve">The whole application end-to-end, including UI, API, and database together</w:t>
            </w:r>
          </w:p>
        </w:tc>
        <w:tc>
          <w:tcPr>
            <w:tcW w:type="dxa" w:w="2350"/>
            <w:tcMar>
              <w:top w:type="dxa" w:w="100"/>
              <w:left w:type="dxa" w:w="120"/>
              <w:bottom w:type="dxa" w:w="100"/>
              <w:right w:type="dxa" w:w="120"/>
            </w:tcMar>
          </w:tcPr>
          <w:p>
            <w:r>
              <w:rPr>
                <w:b w:val="false"/>
                <w:bCs w:val="false"/>
                <w:color w:val="000000"/>
                <w:sz w:val="20"/>
                <w:szCs w:val="20"/>
              </w:rPr>
              <w:t xml:space="preserve">Weekly during the Testing &amp; QA stage (Weeks 8–9.5 per Week 3 roadmap)</w:t>
            </w:r>
          </w:p>
        </w:tc>
        <w:tc>
          <w:tcPr>
            <w:tcW w:type="dxa" w:w="1400"/>
            <w:tcMar>
              <w:top w:type="dxa" w:w="100"/>
              <w:left w:type="dxa" w:w="120"/>
              <w:bottom w:type="dxa" w:w="100"/>
              <w:right w:type="dxa" w:w="120"/>
            </w:tcMar>
          </w:tcPr>
          <w:p>
            <w:r>
              <w:rPr>
                <w:b w:val="false"/>
                <w:bCs w:val="false"/>
                <w:color w:val="000000"/>
                <w:sz w:val="20"/>
                <w:szCs w:val="20"/>
              </w:rPr>
              <w:t xml:space="preserve">Developer, manual click-through</w:t>
            </w:r>
          </w:p>
        </w:tc>
      </w:tr>
      <w:tr>
        <w:tc>
          <w:tcPr>
            <w:tcW w:type="dxa" w:w="1800"/>
            <w:tcMar>
              <w:top w:type="dxa" w:w="100"/>
              <w:left w:type="dxa" w:w="120"/>
              <w:bottom w:type="dxa" w:w="100"/>
              <w:right w:type="dxa" w:w="120"/>
            </w:tcMar>
          </w:tcPr>
          <w:p>
            <w:r>
              <w:rPr>
                <w:b w:val="false"/>
                <w:bCs w:val="false"/>
                <w:color w:val="000000"/>
                <w:sz w:val="20"/>
                <w:szCs w:val="20"/>
              </w:rPr>
              <w:t xml:space="preserve">Acceptance Testing</w:t>
            </w:r>
          </w:p>
        </w:tc>
        <w:tc>
          <w:tcPr>
            <w:tcW w:type="dxa" w:w="3800"/>
            <w:tcMar>
              <w:top w:type="dxa" w:w="100"/>
              <w:left w:type="dxa" w:w="120"/>
              <w:bottom w:type="dxa" w:w="100"/>
              <w:right w:type="dxa" w:w="120"/>
            </w:tcMar>
          </w:tcPr>
          <w:p>
            <w:r>
              <w:rPr>
                <w:b w:val="false"/>
                <w:bCs w:val="false"/>
                <w:color w:val="000000"/>
                <w:sz w:val="20"/>
                <w:szCs w:val="20"/>
              </w:rPr>
              <w:t xml:space="preserve">Verifying the system meets the original SRD requirements (Week 1, Section 4.1) from a user's perspective</w:t>
            </w:r>
          </w:p>
        </w:tc>
        <w:tc>
          <w:tcPr>
            <w:tcW w:type="dxa" w:w="2350"/>
            <w:tcMar>
              <w:top w:type="dxa" w:w="100"/>
              <w:left w:type="dxa" w:w="120"/>
              <w:bottom w:type="dxa" w:w="100"/>
              <w:right w:type="dxa" w:w="120"/>
            </w:tcMar>
          </w:tcPr>
          <w:p>
            <w:r>
              <w:rPr>
                <w:b w:val="false"/>
                <w:bCs w:val="false"/>
                <w:color w:val="000000"/>
                <w:sz w:val="20"/>
                <w:szCs w:val="20"/>
              </w:rPr>
              <w:t xml:space="preserve">Once, before deployment (end of Week 9.5)</w:t>
            </w:r>
          </w:p>
        </w:tc>
        <w:tc>
          <w:tcPr>
            <w:tcW w:type="dxa" w:w="1400"/>
            <w:tcMar>
              <w:top w:type="dxa" w:w="100"/>
              <w:left w:type="dxa" w:w="120"/>
              <w:bottom w:type="dxa" w:w="100"/>
              <w:right w:type="dxa" w:w="120"/>
            </w:tcMar>
          </w:tcPr>
          <w:p>
            <w:r>
              <w:rPr>
                <w:b w:val="false"/>
                <w:bCs w:val="false"/>
                <w:color w:val="000000"/>
                <w:sz w:val="20"/>
                <w:szCs w:val="20"/>
              </w:rPr>
              <w:t xml:space="preserve">Developer, checked against SRD checklist</w:t>
            </w:r>
          </w:p>
        </w:tc>
      </w:tr>
    </w:tbl>
    <w:p>
      <w:pPr>
        <w:pStyle w:val="Heading1"/>
        <w:spacing w:after="200" w:before="360"/>
      </w:pPr>
      <w:r>
        <w:t xml:space="preserve">3. Test Case Design</w:t>
      </w:r>
    </w:p>
    <w:p>
      <w:pPr>
        <w:spacing w:after="200"/>
      </w:pPr>
      <w:r>
        <w:t xml:space="preserve">The following sample test cases illustrate the required level of detail for each of the four core modules defined in the Week 2 architecture document. Each test case specifies preconditions, steps, expected outcome, and pass/fail criteria, rather than a one-line description, so that any developer could execute it without ambiguity.</w:t>
      </w:r>
    </w:p>
    <w:p>
      <w:pPr>
        <w:pStyle w:val="Heading2"/>
        <w:spacing w:after="160" w:before="240"/>
      </w:pPr>
      <w:r>
        <w:t xml:space="preserve">3.1 Auth Module — Test Case AUTH-03: Login with Incorrect Password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00"/>
        <w:gridCol w:w="7050"/>
      </w:tblGrid>
      <w:tr>
        <w:tc>
          <w:tcPr>
            <w:tcW w:type="dxa" w:w="2300"/>
            <w:shd w:fill="2F5496" w:val="clear"/>
            <w:tcMar>
              <w:top w:type="dxa" w:w="100"/>
              <w:left w:type="dxa" w:w="120"/>
              <w:bottom w:type="dxa" w:w="100"/>
              <w:right w:type="dxa" w:w="120"/>
            </w:tcMar>
          </w:tcPr>
          <w:p>
            <w:pPr>
              <w:spacing w:after="0"/>
            </w:pPr>
            <w:r>
              <w:rPr>
                <w:b/>
                <w:bCs/>
                <w:color w:val="FFFFFF"/>
                <w:sz w:val="20"/>
                <w:szCs w:val="20"/>
              </w:rPr>
              <w:t xml:space="preserve">Field</w:t>
            </w:r>
          </w:p>
        </w:tc>
        <w:tc>
          <w:tcPr>
            <w:tcW w:type="dxa" w:w="7050"/>
            <w:shd w:fill="2F5496" w:val="clear"/>
            <w:tcMar>
              <w:top w:type="dxa" w:w="100"/>
              <w:left w:type="dxa" w:w="120"/>
              <w:bottom w:type="dxa" w:w="100"/>
              <w:right w:type="dxa" w:w="120"/>
            </w:tcMar>
          </w:tcPr>
          <w:p>
            <w:pPr>
              <w:spacing w:after="0"/>
            </w:pPr>
            <w:r>
              <w:rPr>
                <w:b/>
                <w:bCs/>
                <w:color w:val="FFFFFF"/>
                <w:sz w:val="20"/>
                <w:szCs w:val="20"/>
              </w:rPr>
              <w:t xml:space="preserve">Detail</w:t>
            </w:r>
          </w:p>
        </w:tc>
      </w:tr>
      <w:tr>
        <w:tc>
          <w:tcPr>
            <w:tcW w:type="dxa" w:w="2300"/>
            <w:tcMar>
              <w:top w:type="dxa" w:w="100"/>
              <w:left w:type="dxa" w:w="120"/>
              <w:bottom w:type="dxa" w:w="100"/>
              <w:right w:type="dxa" w:w="120"/>
            </w:tcMar>
          </w:tcPr>
          <w:p>
            <w:pPr>
              <w:spacing w:after="0"/>
            </w:pPr>
            <w:r>
              <w:rPr>
                <w:b w:val="false"/>
                <w:bCs w:val="false"/>
                <w:color w:val="000000"/>
                <w:sz w:val="20"/>
                <w:szCs w:val="20"/>
              </w:rPr>
              <w:t xml:space="preserve">Precondition</w:t>
            </w:r>
          </w:p>
        </w:tc>
        <w:tc>
          <w:tcPr>
            <w:tcW w:type="dxa" w:w="7050"/>
            <w:tcMar>
              <w:top w:type="dxa" w:w="100"/>
              <w:left w:type="dxa" w:w="120"/>
              <w:bottom w:type="dxa" w:w="100"/>
              <w:right w:type="dxa" w:w="120"/>
            </w:tcMar>
          </w:tcPr>
          <w:p>
            <w:pPr>
              <w:spacing w:after="0"/>
            </w:pPr>
            <w:r>
              <w:rPr>
                <w:b w:val="false"/>
                <w:bCs w:val="false"/>
                <w:color w:val="000000"/>
                <w:sz w:val="20"/>
                <w:szCs w:val="20"/>
              </w:rPr>
              <w:t xml:space="preserve">A user account already exists with email asha@example.com and a known correct password.</w:t>
            </w:r>
          </w:p>
        </w:tc>
      </w:tr>
      <w:tr>
        <w:tc>
          <w:tcPr>
            <w:tcW w:type="dxa" w:w="2300"/>
            <w:tcMar>
              <w:top w:type="dxa" w:w="100"/>
              <w:left w:type="dxa" w:w="120"/>
              <w:bottom w:type="dxa" w:w="100"/>
              <w:right w:type="dxa" w:w="120"/>
            </w:tcMar>
          </w:tcPr>
          <w:p>
            <w:pPr>
              <w:spacing w:after="0"/>
            </w:pPr>
            <w:r>
              <w:rPr>
                <w:b w:val="false"/>
                <w:bCs w:val="false"/>
                <w:color w:val="000000"/>
                <w:sz w:val="20"/>
                <w:szCs w:val="20"/>
              </w:rPr>
              <w:t xml:space="preserve">Steps</w:t>
            </w:r>
          </w:p>
        </w:tc>
        <w:tc>
          <w:tcPr>
            <w:tcW w:type="dxa" w:w="7050"/>
            <w:tcMar>
              <w:top w:type="dxa" w:w="100"/>
              <w:left w:type="dxa" w:w="120"/>
              <w:bottom w:type="dxa" w:w="100"/>
              <w:right w:type="dxa" w:w="120"/>
            </w:tcMar>
          </w:tcPr>
          <w:p>
            <w:pPr>
              <w:spacing w:after="60"/>
            </w:pPr>
            <w:r>
              <w:rPr>
                <w:b w:val="false"/>
                <w:bCs w:val="false"/>
                <w:color w:val="000000"/>
                <w:sz w:val="20"/>
                <w:szCs w:val="20"/>
              </w:rPr>
              <w:t xml:space="preserve">1. Send POST /api/auth/login with the correct email and an incorrect password.</w:t>
            </w:r>
          </w:p>
          <w:p>
            <w:pPr>
              <w:spacing w:after="0"/>
            </w:pPr>
            <w:r>
              <w:rPr>
                <w:b w:val="false"/>
                <w:bCs w:val="false"/>
                <w:color w:val="000000"/>
                <w:sz w:val="20"/>
                <w:szCs w:val="20"/>
              </w:rPr>
              <w:t xml:space="preserve">2. Observe the HTTP response code and body.</w:t>
            </w:r>
          </w:p>
        </w:tc>
      </w:tr>
      <w:tr>
        <w:tc>
          <w:tcPr>
            <w:tcW w:type="dxa" w:w="2300"/>
            <w:tcMar>
              <w:top w:type="dxa" w:w="100"/>
              <w:left w:type="dxa" w:w="120"/>
              <w:bottom w:type="dxa" w:w="100"/>
              <w:right w:type="dxa" w:w="120"/>
            </w:tcMar>
          </w:tcPr>
          <w:p>
            <w:pPr>
              <w:spacing w:after="0"/>
            </w:pPr>
            <w:r>
              <w:rPr>
                <w:b w:val="false"/>
                <w:bCs w:val="false"/>
                <w:color w:val="000000"/>
                <w:sz w:val="20"/>
                <w:szCs w:val="20"/>
              </w:rPr>
              <w:t xml:space="preserve">Expected Outcome</w:t>
            </w:r>
          </w:p>
        </w:tc>
        <w:tc>
          <w:tcPr>
            <w:tcW w:type="dxa" w:w="7050"/>
            <w:tcMar>
              <w:top w:type="dxa" w:w="100"/>
              <w:left w:type="dxa" w:w="120"/>
              <w:bottom w:type="dxa" w:w="100"/>
              <w:right w:type="dxa" w:w="120"/>
            </w:tcMar>
          </w:tcPr>
          <w:p>
            <w:pPr>
              <w:spacing w:after="0"/>
            </w:pPr>
            <w:r>
              <w:rPr>
                <w:b w:val="false"/>
                <w:bCs w:val="false"/>
                <w:color w:val="000000"/>
                <w:sz w:val="20"/>
                <w:szCs w:val="20"/>
              </w:rPr>
              <w:t xml:space="preserve">Response is 401 Unauthorized with a generic error message ("Invalid email or password") that does not reveal whether the email or the password was wrong.</w:t>
            </w:r>
          </w:p>
        </w:tc>
      </w:tr>
      <w:tr>
        <w:tc>
          <w:tcPr>
            <w:tcW w:type="dxa" w:w="2300"/>
            <w:tcMar>
              <w:top w:type="dxa" w:w="100"/>
              <w:left w:type="dxa" w:w="120"/>
              <w:bottom w:type="dxa" w:w="100"/>
              <w:right w:type="dxa" w:w="120"/>
            </w:tcMar>
          </w:tcPr>
          <w:p>
            <w:pPr>
              <w:spacing w:after="0"/>
            </w:pPr>
            <w:r>
              <w:rPr>
                <w:b w:val="false"/>
                <w:bCs w:val="false"/>
                <w:color w:val="000000"/>
                <w:sz w:val="20"/>
                <w:szCs w:val="20"/>
              </w:rPr>
              <w:t xml:space="preserve">Pass/Fail Criteria</w:t>
            </w:r>
          </w:p>
        </w:tc>
        <w:tc>
          <w:tcPr>
            <w:tcW w:type="dxa" w:w="7050"/>
            <w:tcMar>
              <w:top w:type="dxa" w:w="100"/>
              <w:left w:type="dxa" w:w="120"/>
              <w:bottom w:type="dxa" w:w="100"/>
              <w:right w:type="dxa" w:w="120"/>
            </w:tcMar>
          </w:tcPr>
          <w:p>
            <w:pPr>
              <w:spacing w:after="0"/>
            </w:pPr>
            <w:r>
              <w:rPr>
                <w:b w:val="false"/>
                <w:bCs w:val="false"/>
                <w:color w:val="000000"/>
                <w:sz w:val="20"/>
                <w:szCs w:val="20"/>
              </w:rPr>
              <w:t xml:space="preserve">Pass if status code is exactly 401 and no JWT is present in the response. Fail if status is 200, if a token is returned, or if the error message discloses which field was incorrect (a security-relevant information leak).</w:t>
            </w:r>
          </w:p>
        </w:tc>
      </w:tr>
    </w:tbl>
    <w:p>
      <w:pPr>
        <w:pStyle w:val="Heading2"/>
        <w:spacing w:after="160" w:before="240"/>
      </w:pPr>
      <w:r>
        <w:t xml:space="preserve">3.2 Expense Module — Test Case EXP-07: Reject Future-Dated Expense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00"/>
        <w:gridCol w:w="7050"/>
      </w:tblGrid>
      <w:tr>
        <w:tc>
          <w:tcPr>
            <w:tcW w:type="dxa" w:w="2300"/>
            <w:shd w:fill="2F5496" w:val="clear"/>
            <w:tcMar>
              <w:top w:type="dxa" w:w="100"/>
              <w:left w:type="dxa" w:w="120"/>
              <w:bottom w:type="dxa" w:w="100"/>
              <w:right w:type="dxa" w:w="120"/>
            </w:tcMar>
          </w:tcPr>
          <w:p>
            <w:pPr>
              <w:spacing w:after="0"/>
            </w:pPr>
            <w:r>
              <w:rPr>
                <w:b/>
                <w:bCs/>
                <w:color w:val="FFFFFF"/>
                <w:sz w:val="20"/>
                <w:szCs w:val="20"/>
              </w:rPr>
              <w:t xml:space="preserve">Field</w:t>
            </w:r>
          </w:p>
        </w:tc>
        <w:tc>
          <w:tcPr>
            <w:tcW w:type="dxa" w:w="7050"/>
            <w:shd w:fill="2F5496" w:val="clear"/>
            <w:tcMar>
              <w:top w:type="dxa" w:w="100"/>
              <w:left w:type="dxa" w:w="120"/>
              <w:bottom w:type="dxa" w:w="100"/>
              <w:right w:type="dxa" w:w="120"/>
            </w:tcMar>
          </w:tcPr>
          <w:p>
            <w:pPr>
              <w:spacing w:after="0"/>
            </w:pPr>
            <w:r>
              <w:rPr>
                <w:b/>
                <w:bCs/>
                <w:color w:val="FFFFFF"/>
                <w:sz w:val="20"/>
                <w:szCs w:val="20"/>
              </w:rPr>
              <w:t xml:space="preserve">Detail</w:t>
            </w:r>
          </w:p>
        </w:tc>
      </w:tr>
      <w:tr>
        <w:tc>
          <w:tcPr>
            <w:tcW w:type="dxa" w:w="2300"/>
            <w:tcMar>
              <w:top w:type="dxa" w:w="100"/>
              <w:left w:type="dxa" w:w="120"/>
              <w:bottom w:type="dxa" w:w="100"/>
              <w:right w:type="dxa" w:w="120"/>
            </w:tcMar>
          </w:tcPr>
          <w:p>
            <w:pPr>
              <w:spacing w:after="0"/>
            </w:pPr>
            <w:r>
              <w:rPr>
                <w:b w:val="false"/>
                <w:bCs w:val="false"/>
                <w:color w:val="000000"/>
                <w:sz w:val="20"/>
                <w:szCs w:val="20"/>
              </w:rPr>
              <w:t xml:space="preserve">Precondition</w:t>
            </w:r>
          </w:p>
        </w:tc>
        <w:tc>
          <w:tcPr>
            <w:tcW w:type="dxa" w:w="7050"/>
            <w:tcMar>
              <w:top w:type="dxa" w:w="100"/>
              <w:left w:type="dxa" w:w="120"/>
              <w:bottom w:type="dxa" w:w="100"/>
              <w:right w:type="dxa" w:w="120"/>
            </w:tcMar>
          </w:tcPr>
          <w:p>
            <w:pPr>
              <w:spacing w:after="0"/>
            </w:pPr>
            <w:r>
              <w:rPr>
                <w:b w:val="false"/>
                <w:bCs w:val="false"/>
                <w:color w:val="000000"/>
                <w:sz w:val="20"/>
                <w:szCs w:val="20"/>
              </w:rPr>
              <w:t xml:space="preserve">User is authenticated with a valid JWT; today's date is known (e.g., 2026-08-30).</w:t>
            </w:r>
          </w:p>
        </w:tc>
      </w:tr>
      <w:tr>
        <w:tc>
          <w:tcPr>
            <w:tcW w:type="dxa" w:w="2300"/>
            <w:tcMar>
              <w:top w:type="dxa" w:w="100"/>
              <w:left w:type="dxa" w:w="120"/>
              <w:bottom w:type="dxa" w:w="100"/>
              <w:right w:type="dxa" w:w="120"/>
            </w:tcMar>
          </w:tcPr>
          <w:p>
            <w:pPr>
              <w:spacing w:after="0"/>
            </w:pPr>
            <w:r>
              <w:rPr>
                <w:b w:val="false"/>
                <w:bCs w:val="false"/>
                <w:color w:val="000000"/>
                <w:sz w:val="20"/>
                <w:szCs w:val="20"/>
              </w:rPr>
              <w:t xml:space="preserve">Steps</w:t>
            </w:r>
          </w:p>
        </w:tc>
        <w:tc>
          <w:tcPr>
            <w:tcW w:type="dxa" w:w="7050"/>
            <w:tcMar>
              <w:top w:type="dxa" w:w="100"/>
              <w:left w:type="dxa" w:w="120"/>
              <w:bottom w:type="dxa" w:w="100"/>
              <w:right w:type="dxa" w:w="120"/>
            </w:tcMar>
          </w:tcPr>
          <w:p>
            <w:pPr>
              <w:spacing w:after="60"/>
            </w:pPr>
            <w:r>
              <w:rPr>
                <w:b w:val="false"/>
                <w:bCs w:val="false"/>
                <w:color w:val="000000"/>
                <w:sz w:val="20"/>
                <w:szCs w:val="20"/>
              </w:rPr>
              <w:t xml:space="preserve">1. Send POST /api/expenses with a valid amount and category, but a date field of 2026-09-15 (in the future).</w:t>
            </w:r>
          </w:p>
          <w:p>
            <w:pPr>
              <w:spacing w:after="0"/>
            </w:pPr>
            <w:r>
              <w:rPr>
                <w:b w:val="false"/>
                <w:bCs w:val="false"/>
                <w:color w:val="000000"/>
                <w:sz w:val="20"/>
                <w:szCs w:val="20"/>
              </w:rPr>
              <w:t xml:space="preserve">2. Observe the response.</w:t>
            </w:r>
          </w:p>
        </w:tc>
      </w:tr>
      <w:tr>
        <w:tc>
          <w:tcPr>
            <w:tcW w:type="dxa" w:w="2300"/>
            <w:tcMar>
              <w:top w:type="dxa" w:w="100"/>
              <w:left w:type="dxa" w:w="120"/>
              <w:bottom w:type="dxa" w:w="100"/>
              <w:right w:type="dxa" w:w="120"/>
            </w:tcMar>
          </w:tcPr>
          <w:p>
            <w:pPr>
              <w:spacing w:after="0"/>
            </w:pPr>
            <w:r>
              <w:rPr>
                <w:b w:val="false"/>
                <w:bCs w:val="false"/>
                <w:color w:val="000000"/>
                <w:sz w:val="20"/>
                <w:szCs w:val="20"/>
              </w:rPr>
              <w:t xml:space="preserve">Expected Outcome</w:t>
            </w:r>
          </w:p>
        </w:tc>
        <w:tc>
          <w:tcPr>
            <w:tcW w:type="dxa" w:w="7050"/>
            <w:tcMar>
              <w:top w:type="dxa" w:w="100"/>
              <w:left w:type="dxa" w:w="120"/>
              <w:bottom w:type="dxa" w:w="100"/>
              <w:right w:type="dxa" w:w="120"/>
            </w:tcMar>
          </w:tcPr>
          <w:p>
            <w:pPr>
              <w:spacing w:after="0"/>
            </w:pPr>
            <w:r>
              <w:rPr>
                <w:b w:val="false"/>
                <w:bCs w:val="false"/>
                <w:color w:val="000000"/>
                <w:sz w:val="20"/>
                <w:szCs w:val="20"/>
              </w:rPr>
              <w:t xml:space="preserve">Request is rejected with a 400 Bad Request and a validation message stating the date cannot be in the future, per the validation rule defined in the Week 2 Expense Module description (Section 3.2).</w:t>
            </w:r>
          </w:p>
        </w:tc>
      </w:tr>
      <w:tr>
        <w:tc>
          <w:tcPr>
            <w:tcW w:type="dxa" w:w="2300"/>
            <w:tcMar>
              <w:top w:type="dxa" w:w="100"/>
              <w:left w:type="dxa" w:w="120"/>
              <w:bottom w:type="dxa" w:w="100"/>
              <w:right w:type="dxa" w:w="120"/>
            </w:tcMar>
          </w:tcPr>
          <w:p>
            <w:pPr>
              <w:spacing w:after="0"/>
            </w:pPr>
            <w:r>
              <w:rPr>
                <w:b w:val="false"/>
                <w:bCs w:val="false"/>
                <w:color w:val="000000"/>
                <w:sz w:val="20"/>
                <w:szCs w:val="20"/>
              </w:rPr>
              <w:t xml:space="preserve">Pass/Fail Criteria</w:t>
            </w:r>
          </w:p>
        </w:tc>
        <w:tc>
          <w:tcPr>
            <w:tcW w:type="dxa" w:w="7050"/>
            <w:tcMar>
              <w:top w:type="dxa" w:w="100"/>
              <w:left w:type="dxa" w:w="120"/>
              <w:bottom w:type="dxa" w:w="100"/>
              <w:right w:type="dxa" w:w="120"/>
            </w:tcMar>
          </w:tcPr>
          <w:p>
            <w:pPr>
              <w:spacing w:after="0"/>
            </w:pPr>
            <w:r>
              <w:rPr>
                <w:b w:val="false"/>
                <w:bCs w:val="false"/>
                <w:color w:val="000000"/>
                <w:sz w:val="20"/>
                <w:szCs w:val="20"/>
              </w:rPr>
              <w:t xml:space="preserve">Pass if status is 400 and no record is created in the expenses table. Fail if the expense is saved, or if the error is a generic 500 server error instead of a specific validation message.</w:t>
            </w:r>
          </w:p>
        </w:tc>
      </w:tr>
    </w:tbl>
    <w:p>
      <w:pPr>
        <w:pStyle w:val="Heading2"/>
        <w:spacing w:after="160" w:before="240"/>
      </w:pPr>
      <w:r>
        <w:t xml:space="preserve">3.3 Budget &amp; Report Module — Test Case BUD-05: 80% Budget Threshold Boundary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00"/>
        <w:gridCol w:w="7050"/>
      </w:tblGrid>
      <w:tr>
        <w:tc>
          <w:tcPr>
            <w:tcW w:type="dxa" w:w="2300"/>
            <w:shd w:fill="2F5496" w:val="clear"/>
            <w:tcMar>
              <w:top w:type="dxa" w:w="100"/>
              <w:left w:type="dxa" w:w="120"/>
              <w:bottom w:type="dxa" w:w="100"/>
              <w:right w:type="dxa" w:w="120"/>
            </w:tcMar>
          </w:tcPr>
          <w:p>
            <w:pPr>
              <w:spacing w:after="0"/>
            </w:pPr>
            <w:r>
              <w:rPr>
                <w:b/>
                <w:bCs/>
                <w:color w:val="FFFFFF"/>
                <w:sz w:val="20"/>
                <w:szCs w:val="20"/>
              </w:rPr>
              <w:t xml:space="preserve">Field</w:t>
            </w:r>
          </w:p>
        </w:tc>
        <w:tc>
          <w:tcPr>
            <w:tcW w:type="dxa" w:w="7050"/>
            <w:shd w:fill="2F5496" w:val="clear"/>
            <w:tcMar>
              <w:top w:type="dxa" w:w="100"/>
              <w:left w:type="dxa" w:w="120"/>
              <w:bottom w:type="dxa" w:w="100"/>
              <w:right w:type="dxa" w:w="120"/>
            </w:tcMar>
          </w:tcPr>
          <w:p>
            <w:pPr>
              <w:spacing w:after="0"/>
            </w:pPr>
            <w:r>
              <w:rPr>
                <w:b/>
                <w:bCs/>
                <w:color w:val="FFFFFF"/>
                <w:sz w:val="20"/>
                <w:szCs w:val="20"/>
              </w:rPr>
              <w:t xml:space="preserve">Detail</w:t>
            </w:r>
          </w:p>
        </w:tc>
      </w:tr>
      <w:tr>
        <w:tc>
          <w:tcPr>
            <w:tcW w:type="dxa" w:w="2300"/>
            <w:tcMar>
              <w:top w:type="dxa" w:w="100"/>
              <w:left w:type="dxa" w:w="120"/>
              <w:bottom w:type="dxa" w:w="100"/>
              <w:right w:type="dxa" w:w="120"/>
            </w:tcMar>
          </w:tcPr>
          <w:p>
            <w:pPr>
              <w:spacing w:after="0"/>
            </w:pPr>
            <w:r>
              <w:rPr>
                <w:b w:val="false"/>
                <w:bCs w:val="false"/>
                <w:color w:val="000000"/>
                <w:sz w:val="20"/>
                <w:szCs w:val="20"/>
              </w:rPr>
              <w:t xml:space="preserve">Precondition</w:t>
            </w:r>
          </w:p>
        </w:tc>
        <w:tc>
          <w:tcPr>
            <w:tcW w:type="dxa" w:w="7050"/>
            <w:tcMar>
              <w:top w:type="dxa" w:w="100"/>
              <w:left w:type="dxa" w:w="120"/>
              <w:bottom w:type="dxa" w:w="100"/>
              <w:right w:type="dxa" w:w="120"/>
            </w:tcMar>
          </w:tcPr>
          <w:p>
            <w:pPr>
              <w:spacing w:after="0"/>
            </w:pPr>
            <w:r>
              <w:rPr>
                <w:b w:val="false"/>
                <w:bCs w:val="false"/>
                <w:color w:val="000000"/>
                <w:sz w:val="20"/>
                <w:szCs w:val="20"/>
              </w:rPr>
              <w:t xml:space="preserve">User has a monthly budget of ₹15,000 and current total expenses of exactly ₹11,999 (79.99%).</w:t>
            </w:r>
          </w:p>
        </w:tc>
      </w:tr>
      <w:tr>
        <w:tc>
          <w:tcPr>
            <w:tcW w:type="dxa" w:w="2300"/>
            <w:tcMar>
              <w:top w:type="dxa" w:w="100"/>
              <w:left w:type="dxa" w:w="120"/>
              <w:bottom w:type="dxa" w:w="100"/>
              <w:right w:type="dxa" w:w="120"/>
            </w:tcMar>
          </w:tcPr>
          <w:p>
            <w:pPr>
              <w:spacing w:after="0"/>
            </w:pPr>
            <w:r>
              <w:rPr>
                <w:b w:val="false"/>
                <w:bCs w:val="false"/>
                <w:color w:val="000000"/>
                <w:sz w:val="20"/>
                <w:szCs w:val="20"/>
              </w:rPr>
              <w:t xml:space="preserve">Steps</w:t>
            </w:r>
          </w:p>
        </w:tc>
        <w:tc>
          <w:tcPr>
            <w:tcW w:type="dxa" w:w="7050"/>
            <w:tcMar>
              <w:top w:type="dxa" w:w="100"/>
              <w:left w:type="dxa" w:w="120"/>
              <w:bottom w:type="dxa" w:w="100"/>
              <w:right w:type="dxa" w:w="120"/>
            </w:tcMar>
          </w:tcPr>
          <w:p>
            <w:pPr>
              <w:spacing w:after="60"/>
            </w:pPr>
            <w:r>
              <w:rPr>
                <w:b w:val="false"/>
                <w:bCs w:val="false"/>
                <w:color w:val="000000"/>
                <w:sz w:val="20"/>
                <w:szCs w:val="20"/>
              </w:rPr>
              <w:t xml:space="preserve">1. Add one more expense of ₹1 (bringing total to ₹12,000, exactly 80%).</w:t>
            </w:r>
          </w:p>
          <w:p>
            <w:pPr>
              <w:spacing w:after="60"/>
            </w:pPr>
            <w:r>
              <w:rPr>
                <w:b w:val="false"/>
                <w:bCs w:val="false"/>
                <w:color w:val="000000"/>
                <w:sz w:val="20"/>
                <w:szCs w:val="20"/>
              </w:rPr>
              <w:t xml:space="preserve">2. Call GET /api/reports/monthly-summary.</w:t>
            </w:r>
          </w:p>
          <w:p>
            <w:pPr>
              <w:spacing w:after="0"/>
            </w:pPr>
            <w:r>
              <w:rPr>
                <w:b w:val="false"/>
                <w:bCs w:val="false"/>
                <w:color w:val="000000"/>
                <w:sz w:val="20"/>
                <w:szCs w:val="20"/>
              </w:rPr>
              <w:t xml:space="preserve">3. Repeat with total at ₹11,999 (just under 80%) for comparison.</w:t>
            </w:r>
          </w:p>
        </w:tc>
      </w:tr>
      <w:tr>
        <w:tc>
          <w:tcPr>
            <w:tcW w:type="dxa" w:w="2300"/>
            <w:tcMar>
              <w:top w:type="dxa" w:w="100"/>
              <w:left w:type="dxa" w:w="120"/>
              <w:bottom w:type="dxa" w:w="100"/>
              <w:right w:type="dxa" w:w="120"/>
            </w:tcMar>
          </w:tcPr>
          <w:p>
            <w:pPr>
              <w:spacing w:after="0"/>
            </w:pPr>
            <w:r>
              <w:rPr>
                <w:b w:val="false"/>
                <w:bCs w:val="false"/>
                <w:color w:val="000000"/>
                <w:sz w:val="20"/>
                <w:szCs w:val="20"/>
              </w:rPr>
              <w:t xml:space="preserve">Expected Outcome</w:t>
            </w:r>
          </w:p>
        </w:tc>
        <w:tc>
          <w:tcPr>
            <w:tcW w:type="dxa" w:w="7050"/>
            <w:tcMar>
              <w:top w:type="dxa" w:w="100"/>
              <w:left w:type="dxa" w:w="120"/>
              <w:bottom w:type="dxa" w:w="100"/>
              <w:right w:type="dxa" w:w="120"/>
            </w:tcMar>
          </w:tcPr>
          <w:p>
            <w:pPr>
              <w:spacing w:after="0"/>
            </w:pPr>
            <w:r>
              <w:rPr>
                <w:b w:val="false"/>
                <w:bCs w:val="false"/>
                <w:color w:val="000000"/>
                <w:sz w:val="20"/>
                <w:szCs w:val="20"/>
              </w:rPr>
              <w:t xml:space="preserve">At exactly 80% (₹12,000), the response's budget-status field changes from "normal" to "warning", per threshold FR-8 in the Week 1 SRD. At 79.99%, status remains "normal".</w:t>
            </w:r>
          </w:p>
        </w:tc>
      </w:tr>
      <w:tr>
        <w:tc>
          <w:tcPr>
            <w:tcW w:type="dxa" w:w="2300"/>
            <w:tcMar>
              <w:top w:type="dxa" w:w="100"/>
              <w:left w:type="dxa" w:w="120"/>
              <w:bottom w:type="dxa" w:w="100"/>
              <w:right w:type="dxa" w:w="120"/>
            </w:tcMar>
          </w:tcPr>
          <w:p>
            <w:pPr>
              <w:spacing w:after="0"/>
            </w:pPr>
            <w:r>
              <w:rPr>
                <w:b w:val="false"/>
                <w:bCs w:val="false"/>
                <w:color w:val="000000"/>
                <w:sz w:val="20"/>
                <w:szCs w:val="20"/>
              </w:rPr>
              <w:t xml:space="preserve">Pass/Fail Criteria</w:t>
            </w:r>
          </w:p>
        </w:tc>
        <w:tc>
          <w:tcPr>
            <w:tcW w:type="dxa" w:w="7050"/>
            <w:tcMar>
              <w:top w:type="dxa" w:w="100"/>
              <w:left w:type="dxa" w:w="120"/>
              <w:bottom w:type="dxa" w:w="100"/>
              <w:right w:type="dxa" w:w="120"/>
            </w:tcMar>
          </w:tcPr>
          <w:p>
            <w:pPr>
              <w:spacing w:after="0"/>
            </w:pPr>
            <w:r>
              <w:rPr>
                <w:b w:val="false"/>
                <w:bCs w:val="false"/>
                <w:color w:val="000000"/>
                <w:sz w:val="20"/>
                <w:szCs w:val="20"/>
              </w:rPr>
              <w:t xml:space="preserve">Pass if the status flips precisely at the 80% boundary in both directions. This boundary case is chosen deliberately, since off-by-one errors in percentage thresholds (e.g., using &gt; instead of &gt;=) are a common defect class that mid-range testing would not catch.</w:t>
            </w:r>
          </w:p>
        </w:tc>
      </w:tr>
    </w:tbl>
    <w:p>
      <w:pPr>
        <w:pStyle w:val="Heading2"/>
        <w:spacing w:after="160" w:before="240"/>
      </w:pPr>
      <w:r>
        <w:t xml:space="preserve">3.4 Integration Module — Test Case INT-02: CSV Export Totals Match Dashboard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00"/>
        <w:gridCol w:w="7050"/>
      </w:tblGrid>
      <w:tr>
        <w:tc>
          <w:tcPr>
            <w:tcW w:type="dxa" w:w="2300"/>
            <w:shd w:fill="2F5496" w:val="clear"/>
            <w:tcMar>
              <w:top w:type="dxa" w:w="100"/>
              <w:left w:type="dxa" w:w="120"/>
              <w:bottom w:type="dxa" w:w="100"/>
              <w:right w:type="dxa" w:w="120"/>
            </w:tcMar>
          </w:tcPr>
          <w:p>
            <w:pPr>
              <w:spacing w:after="0"/>
            </w:pPr>
            <w:r>
              <w:rPr>
                <w:b/>
                <w:bCs/>
                <w:color w:val="FFFFFF"/>
                <w:sz w:val="20"/>
                <w:szCs w:val="20"/>
              </w:rPr>
              <w:t xml:space="preserve">Field</w:t>
            </w:r>
          </w:p>
        </w:tc>
        <w:tc>
          <w:tcPr>
            <w:tcW w:type="dxa" w:w="7050"/>
            <w:shd w:fill="2F5496" w:val="clear"/>
            <w:tcMar>
              <w:top w:type="dxa" w:w="100"/>
              <w:left w:type="dxa" w:w="120"/>
              <w:bottom w:type="dxa" w:w="100"/>
              <w:right w:type="dxa" w:w="120"/>
            </w:tcMar>
          </w:tcPr>
          <w:p>
            <w:pPr>
              <w:spacing w:after="0"/>
            </w:pPr>
            <w:r>
              <w:rPr>
                <w:b/>
                <w:bCs/>
                <w:color w:val="FFFFFF"/>
                <w:sz w:val="20"/>
                <w:szCs w:val="20"/>
              </w:rPr>
              <w:t xml:space="preserve">Detail</w:t>
            </w:r>
          </w:p>
        </w:tc>
      </w:tr>
      <w:tr>
        <w:tc>
          <w:tcPr>
            <w:tcW w:type="dxa" w:w="2300"/>
            <w:tcMar>
              <w:top w:type="dxa" w:w="100"/>
              <w:left w:type="dxa" w:w="120"/>
              <w:bottom w:type="dxa" w:w="100"/>
              <w:right w:type="dxa" w:w="120"/>
            </w:tcMar>
          </w:tcPr>
          <w:p>
            <w:pPr>
              <w:spacing w:after="0"/>
            </w:pPr>
            <w:r>
              <w:rPr>
                <w:b w:val="false"/>
                <w:bCs w:val="false"/>
                <w:color w:val="000000"/>
                <w:sz w:val="20"/>
                <w:szCs w:val="20"/>
              </w:rPr>
              <w:t xml:space="preserve">Precondition</w:t>
            </w:r>
          </w:p>
        </w:tc>
        <w:tc>
          <w:tcPr>
            <w:tcW w:type="dxa" w:w="7050"/>
            <w:tcMar>
              <w:top w:type="dxa" w:w="100"/>
              <w:left w:type="dxa" w:w="120"/>
              <w:bottom w:type="dxa" w:w="100"/>
              <w:right w:type="dxa" w:w="120"/>
            </w:tcMar>
          </w:tcPr>
          <w:p>
            <w:pPr>
              <w:spacing w:after="0"/>
            </w:pPr>
            <w:r>
              <w:rPr>
                <w:b w:val="false"/>
                <w:bCs w:val="false"/>
                <w:color w:val="000000"/>
                <w:sz w:val="20"/>
                <w:szCs w:val="20"/>
              </w:rPr>
              <w:t xml:space="preserve">User has exactly 5 expenses logged in the current month, with a known total of ₹8,450.</w:t>
            </w:r>
          </w:p>
        </w:tc>
      </w:tr>
      <w:tr>
        <w:tc>
          <w:tcPr>
            <w:tcW w:type="dxa" w:w="2300"/>
            <w:tcMar>
              <w:top w:type="dxa" w:w="100"/>
              <w:left w:type="dxa" w:w="120"/>
              <w:bottom w:type="dxa" w:w="100"/>
              <w:right w:type="dxa" w:w="120"/>
            </w:tcMar>
          </w:tcPr>
          <w:p>
            <w:pPr>
              <w:spacing w:after="0"/>
            </w:pPr>
            <w:r>
              <w:rPr>
                <w:b w:val="false"/>
                <w:bCs w:val="false"/>
                <w:color w:val="000000"/>
                <w:sz w:val="20"/>
                <w:szCs w:val="20"/>
              </w:rPr>
              <w:t xml:space="preserve">Steps</w:t>
            </w:r>
          </w:p>
        </w:tc>
        <w:tc>
          <w:tcPr>
            <w:tcW w:type="dxa" w:w="7050"/>
            <w:tcMar>
              <w:top w:type="dxa" w:w="100"/>
              <w:left w:type="dxa" w:w="120"/>
              <w:bottom w:type="dxa" w:w="100"/>
              <w:right w:type="dxa" w:w="120"/>
            </w:tcMar>
          </w:tcPr>
          <w:p>
            <w:pPr>
              <w:spacing w:after="60"/>
            </w:pPr>
            <w:r>
              <w:rPr>
                <w:b w:val="false"/>
                <w:bCs w:val="false"/>
                <w:color w:val="000000"/>
                <w:sz w:val="20"/>
                <w:szCs w:val="20"/>
              </w:rPr>
              <w:t xml:space="preserve">1. Call GET /api/reports/monthly-summary and record the total.</w:t>
            </w:r>
          </w:p>
          <w:p>
            <w:pPr>
              <w:spacing w:after="60"/>
            </w:pPr>
            <w:r>
              <w:rPr>
                <w:b w:val="false"/>
                <w:bCs w:val="false"/>
                <w:color w:val="000000"/>
                <w:sz w:val="20"/>
                <w:szCs w:val="20"/>
              </w:rPr>
              <w:t xml:space="preserve">2. Call GET /api/export/csv for the same month.</w:t>
            </w:r>
          </w:p>
          <w:p>
            <w:pPr>
              <w:spacing w:after="0"/>
            </w:pPr>
            <w:r>
              <w:rPr>
                <w:b w:val="false"/>
                <w:bCs w:val="false"/>
                <w:color w:val="000000"/>
                <w:sz w:val="20"/>
                <w:szCs w:val="20"/>
              </w:rPr>
              <w:t xml:space="preserve">3. Open the CSV and sum the amount column manually.</w:t>
            </w:r>
          </w:p>
        </w:tc>
      </w:tr>
      <w:tr>
        <w:tc>
          <w:tcPr>
            <w:tcW w:type="dxa" w:w="2300"/>
            <w:tcMar>
              <w:top w:type="dxa" w:w="100"/>
              <w:left w:type="dxa" w:w="120"/>
              <w:bottom w:type="dxa" w:w="100"/>
              <w:right w:type="dxa" w:w="120"/>
            </w:tcMar>
          </w:tcPr>
          <w:p>
            <w:pPr>
              <w:spacing w:after="0"/>
            </w:pPr>
            <w:r>
              <w:rPr>
                <w:b w:val="false"/>
                <w:bCs w:val="false"/>
                <w:color w:val="000000"/>
                <w:sz w:val="20"/>
                <w:szCs w:val="20"/>
              </w:rPr>
              <w:t xml:space="preserve">Expected Outcome</w:t>
            </w:r>
          </w:p>
        </w:tc>
        <w:tc>
          <w:tcPr>
            <w:tcW w:type="dxa" w:w="7050"/>
            <w:tcMar>
              <w:top w:type="dxa" w:w="100"/>
              <w:left w:type="dxa" w:w="120"/>
              <w:bottom w:type="dxa" w:w="100"/>
              <w:right w:type="dxa" w:w="120"/>
            </w:tcMar>
          </w:tcPr>
          <w:p>
            <w:pPr>
              <w:spacing w:after="0"/>
            </w:pPr>
            <w:r>
              <w:rPr>
                <w:b w:val="false"/>
                <w:bCs w:val="false"/>
                <w:color w:val="000000"/>
                <w:sz w:val="20"/>
                <w:szCs w:val="20"/>
              </w:rPr>
              <w:t xml:space="preserve">The CSV's summed total exactly matches the dashboard total (₹8,450), and the CSV contains exactly 5 data rows plus 1 header row.</w:t>
            </w:r>
          </w:p>
        </w:tc>
      </w:tr>
      <w:tr>
        <w:tc>
          <w:tcPr>
            <w:tcW w:type="dxa" w:w="2300"/>
            <w:tcMar>
              <w:top w:type="dxa" w:w="100"/>
              <w:left w:type="dxa" w:w="120"/>
              <w:bottom w:type="dxa" w:w="100"/>
              <w:right w:type="dxa" w:w="120"/>
            </w:tcMar>
          </w:tcPr>
          <w:p>
            <w:pPr>
              <w:spacing w:after="0"/>
            </w:pPr>
            <w:r>
              <w:rPr>
                <w:b w:val="false"/>
                <w:bCs w:val="false"/>
                <w:color w:val="000000"/>
                <w:sz w:val="20"/>
                <w:szCs w:val="20"/>
              </w:rPr>
              <w:t xml:space="preserve">Pass/Fail Criteria</w:t>
            </w:r>
          </w:p>
        </w:tc>
        <w:tc>
          <w:tcPr>
            <w:tcW w:type="dxa" w:w="7050"/>
            <w:tcMar>
              <w:top w:type="dxa" w:w="100"/>
              <w:left w:type="dxa" w:w="120"/>
              <w:bottom w:type="dxa" w:w="100"/>
              <w:right w:type="dxa" w:w="120"/>
            </w:tcMar>
          </w:tcPr>
          <w:p>
            <w:pPr>
              <w:spacing w:after="0"/>
            </w:pPr>
            <w:r>
              <w:rPr>
                <w:b w:val="false"/>
                <w:bCs w:val="false"/>
                <w:color w:val="000000"/>
                <w:sz w:val="20"/>
                <w:szCs w:val="20"/>
              </w:rPr>
              <w:t xml:space="preserve">Pass if both totals match exactly and row count is correct. Fail if there is any discrepancy, which would indicate the Integration Module and Budget &amp; Report Module have diverged in how they calculate totals — the specific risk this test is designed to catch, as noted in the Week 3 Integration and Testing Plan (Section 7.2).</w:t>
            </w:r>
          </w:p>
        </w:tc>
      </w:tr>
    </w:tbl>
    <w:p>
      <w:pPr>
        <w:pStyle w:val="Heading1"/>
        <w:spacing w:after="200" w:before="360"/>
      </w:pPr>
      <w:r>
        <w:t xml:space="preserve">4. Quality Assurance Metrics</w:t>
      </w:r>
    </w:p>
    <w:p>
      <w:pPr>
        <w:spacing w:after="200"/>
      </w:pPr>
      <w:r>
        <w:t xml:space="preserve">Metrics are only useful if they are measured consistently and tied to a specific action when they cross a threshold. The following four metrics are tracked throughout development, not only at the end: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2650"/>
        <w:gridCol w:w="2650"/>
        <w:gridCol w:w="2250"/>
      </w:tblGrid>
      <w:tr>
        <w:tc>
          <w:tcPr>
            <w:tcW w:type="dxa" w:w="1800"/>
            <w:shd w:fill="2F5496" w:val="clear"/>
            <w:tcMar>
              <w:top w:type="dxa" w:w="100"/>
              <w:left w:type="dxa" w:w="120"/>
              <w:bottom w:type="dxa" w:w="100"/>
              <w:right w:type="dxa" w:w="120"/>
            </w:tcMar>
          </w:tcPr>
          <w:p>
            <w:r>
              <w:rPr>
                <w:b/>
                <w:bCs/>
                <w:color w:val="FFFFFF"/>
                <w:sz w:val="20"/>
                <w:szCs w:val="20"/>
              </w:rPr>
              <w:t xml:space="preserve">Metric</w:t>
            </w:r>
          </w:p>
        </w:tc>
        <w:tc>
          <w:tcPr>
            <w:tcW w:type="dxa" w:w="2650"/>
            <w:shd w:fill="2F5496" w:val="clear"/>
            <w:tcMar>
              <w:top w:type="dxa" w:w="100"/>
              <w:left w:type="dxa" w:w="120"/>
              <w:bottom w:type="dxa" w:w="100"/>
              <w:right w:type="dxa" w:w="120"/>
            </w:tcMar>
          </w:tcPr>
          <w:p>
            <w:r>
              <w:rPr>
                <w:b/>
                <w:bCs/>
                <w:color w:val="FFFFFF"/>
                <w:sz w:val="20"/>
                <w:szCs w:val="20"/>
              </w:rPr>
              <w:t xml:space="preserve">Target</w:t>
            </w:r>
          </w:p>
        </w:tc>
        <w:tc>
          <w:tcPr>
            <w:tcW w:type="dxa" w:w="2650"/>
            <w:shd w:fill="2F5496" w:val="clear"/>
            <w:tcMar>
              <w:top w:type="dxa" w:w="100"/>
              <w:left w:type="dxa" w:w="120"/>
              <w:bottom w:type="dxa" w:w="100"/>
              <w:right w:type="dxa" w:w="120"/>
            </w:tcMar>
          </w:tcPr>
          <w:p>
            <w:r>
              <w:rPr>
                <w:b/>
                <w:bCs/>
                <w:color w:val="FFFFFF"/>
                <w:sz w:val="20"/>
                <w:szCs w:val="20"/>
              </w:rPr>
              <w:t xml:space="preserve">How Measured</w:t>
            </w:r>
          </w:p>
        </w:tc>
        <w:tc>
          <w:tcPr>
            <w:tcW w:type="dxa" w:w="2250"/>
            <w:shd w:fill="2F5496" w:val="clear"/>
            <w:tcMar>
              <w:top w:type="dxa" w:w="100"/>
              <w:left w:type="dxa" w:w="120"/>
              <w:bottom w:type="dxa" w:w="100"/>
              <w:right w:type="dxa" w:w="120"/>
            </w:tcMar>
          </w:tcPr>
          <w:p>
            <w:r>
              <w:rPr>
                <w:b/>
                <w:bCs/>
                <w:color w:val="FFFFFF"/>
                <w:sz w:val="20"/>
                <w:szCs w:val="20"/>
              </w:rPr>
              <w:t xml:space="preserve">Action if Missed</w:t>
            </w:r>
          </w:p>
        </w:tc>
      </w:tr>
      <w:tr>
        <w:tc>
          <w:tcPr>
            <w:tcW w:type="dxa" w:w="1800"/>
            <w:tcMar>
              <w:top w:type="dxa" w:w="100"/>
              <w:left w:type="dxa" w:w="120"/>
              <w:bottom w:type="dxa" w:w="100"/>
              <w:right w:type="dxa" w:w="120"/>
            </w:tcMar>
          </w:tcPr>
          <w:p>
            <w:r>
              <w:rPr>
                <w:b w:val="false"/>
                <w:bCs w:val="false"/>
                <w:color w:val="000000"/>
                <w:sz w:val="20"/>
                <w:szCs w:val="20"/>
              </w:rPr>
              <w:t xml:space="preserve">Unit test coverage</w:t>
            </w:r>
          </w:p>
        </w:tc>
        <w:tc>
          <w:tcPr>
            <w:tcW w:type="dxa" w:w="2650"/>
            <w:tcMar>
              <w:top w:type="dxa" w:w="100"/>
              <w:left w:type="dxa" w:w="120"/>
              <w:bottom w:type="dxa" w:w="100"/>
              <w:right w:type="dxa" w:w="120"/>
            </w:tcMar>
          </w:tcPr>
          <w:p>
            <w:r>
              <w:rPr>
                <w:b w:val="false"/>
                <w:bCs w:val="false"/>
                <w:color w:val="000000"/>
                <w:sz w:val="20"/>
                <w:szCs w:val="20"/>
              </w:rPr>
              <w:t xml:space="preserve">≥ 80% line coverage on business logic modules (Auth, Expense, Budget &amp; Report)</w:t>
            </w:r>
          </w:p>
        </w:tc>
        <w:tc>
          <w:tcPr>
            <w:tcW w:type="dxa" w:w="2650"/>
            <w:tcMar>
              <w:top w:type="dxa" w:w="100"/>
              <w:left w:type="dxa" w:w="120"/>
              <w:bottom w:type="dxa" w:w="100"/>
              <w:right w:type="dxa" w:w="120"/>
            </w:tcMar>
          </w:tcPr>
          <w:p>
            <w:r>
              <w:rPr>
                <w:b w:val="false"/>
                <w:bCs w:val="false"/>
                <w:color w:val="000000"/>
                <w:sz w:val="20"/>
                <w:szCs w:val="20"/>
              </w:rPr>
              <w:t xml:space="preserve">Coverage report generated by the test runner after each sprint</w:t>
            </w:r>
          </w:p>
        </w:tc>
        <w:tc>
          <w:tcPr>
            <w:tcW w:type="dxa" w:w="2250"/>
            <w:tcMar>
              <w:top w:type="dxa" w:w="100"/>
              <w:left w:type="dxa" w:w="120"/>
              <w:bottom w:type="dxa" w:w="100"/>
              <w:right w:type="dxa" w:w="120"/>
            </w:tcMar>
          </w:tcPr>
          <w:p>
            <w:r>
              <w:rPr>
                <w:b w:val="false"/>
                <w:bCs w:val="false"/>
                <w:color w:val="000000"/>
                <w:sz w:val="20"/>
                <w:szCs w:val="20"/>
              </w:rPr>
              <w:t xml:space="preserve">Sprint is not marked complete (per Week 3 Definition of Done) until coverage target is met</w:t>
            </w:r>
          </w:p>
        </w:tc>
      </w:tr>
      <w:tr>
        <w:tc>
          <w:tcPr>
            <w:tcW w:type="dxa" w:w="1800"/>
            <w:tcMar>
              <w:top w:type="dxa" w:w="100"/>
              <w:left w:type="dxa" w:w="120"/>
              <w:bottom w:type="dxa" w:w="100"/>
              <w:right w:type="dxa" w:w="120"/>
            </w:tcMar>
          </w:tcPr>
          <w:p>
            <w:r>
              <w:rPr>
                <w:b w:val="false"/>
                <w:bCs w:val="false"/>
                <w:color w:val="000000"/>
                <w:sz w:val="20"/>
                <w:szCs w:val="20"/>
              </w:rPr>
              <w:t xml:space="preserve">Defect density</w:t>
            </w:r>
          </w:p>
        </w:tc>
        <w:tc>
          <w:tcPr>
            <w:tcW w:type="dxa" w:w="2650"/>
            <w:tcMar>
              <w:top w:type="dxa" w:w="100"/>
              <w:left w:type="dxa" w:w="120"/>
              <w:bottom w:type="dxa" w:w="100"/>
              <w:right w:type="dxa" w:w="120"/>
            </w:tcMar>
          </w:tcPr>
          <w:p>
            <w:r>
              <w:rPr>
                <w:b w:val="false"/>
                <w:bCs w:val="false"/>
                <w:color w:val="000000"/>
                <w:sz w:val="20"/>
                <w:szCs w:val="20"/>
              </w:rPr>
              <w:t xml:space="preserve">≤ 1 open defect per 100 lines of new code at end of each sprint</w:t>
            </w:r>
          </w:p>
        </w:tc>
        <w:tc>
          <w:tcPr>
            <w:tcW w:type="dxa" w:w="2650"/>
            <w:tcMar>
              <w:top w:type="dxa" w:w="100"/>
              <w:left w:type="dxa" w:w="120"/>
              <w:bottom w:type="dxa" w:w="100"/>
              <w:right w:type="dxa" w:w="120"/>
            </w:tcMar>
          </w:tcPr>
          <w:p>
            <w:r>
              <w:rPr>
                <w:b w:val="false"/>
                <w:bCs w:val="false"/>
                <w:color w:val="000000"/>
                <w:sz w:val="20"/>
                <w:szCs w:val="20"/>
              </w:rPr>
              <w:t xml:space="preserve">Defects logged in the tracking sheet (Section 6) divided by lines added, per sprint</w:t>
            </w:r>
          </w:p>
        </w:tc>
        <w:tc>
          <w:tcPr>
            <w:tcW w:type="dxa" w:w="2250"/>
            <w:tcMar>
              <w:top w:type="dxa" w:w="100"/>
              <w:left w:type="dxa" w:w="120"/>
              <w:bottom w:type="dxa" w:w="100"/>
              <w:right w:type="dxa" w:w="120"/>
            </w:tcMar>
          </w:tcPr>
          <w:p>
            <w:r>
              <w:rPr>
                <w:b w:val="false"/>
                <w:bCs w:val="false"/>
                <w:color w:val="000000"/>
                <w:sz w:val="20"/>
                <w:szCs w:val="20"/>
              </w:rPr>
              <w:t xml:space="preserve">Next sprint's scope is reduced to allow a half-day for defect triage before new work begins</w:t>
            </w:r>
          </w:p>
        </w:tc>
      </w:tr>
      <w:tr>
        <w:tc>
          <w:tcPr>
            <w:tcW w:type="dxa" w:w="1800"/>
            <w:tcMar>
              <w:top w:type="dxa" w:w="100"/>
              <w:left w:type="dxa" w:w="120"/>
              <w:bottom w:type="dxa" w:w="100"/>
              <w:right w:type="dxa" w:w="120"/>
            </w:tcMar>
          </w:tcPr>
          <w:p>
            <w:r>
              <w:rPr>
                <w:b w:val="false"/>
                <w:bCs w:val="false"/>
                <w:color w:val="000000"/>
                <w:sz w:val="20"/>
                <w:szCs w:val="20"/>
              </w:rPr>
              <w:t xml:space="preserve">API response time</w:t>
            </w:r>
          </w:p>
        </w:tc>
        <w:tc>
          <w:tcPr>
            <w:tcW w:type="dxa" w:w="2650"/>
            <w:tcMar>
              <w:top w:type="dxa" w:w="100"/>
              <w:left w:type="dxa" w:w="120"/>
              <w:bottom w:type="dxa" w:w="100"/>
              <w:right w:type="dxa" w:w="120"/>
            </w:tcMar>
          </w:tcPr>
          <w:p>
            <w:r>
              <w:rPr>
                <w:b w:val="false"/>
                <w:bCs w:val="false"/>
                <w:color w:val="000000"/>
                <w:sz w:val="20"/>
                <w:szCs w:val="20"/>
              </w:rPr>
              <w:t xml:space="preserve">95th percentile under 300ms for all endpoints under normal load (a single user, per the MVP scope)</w:t>
            </w:r>
          </w:p>
        </w:tc>
        <w:tc>
          <w:tcPr>
            <w:tcW w:type="dxa" w:w="2650"/>
            <w:tcMar>
              <w:top w:type="dxa" w:w="100"/>
              <w:left w:type="dxa" w:w="120"/>
              <w:bottom w:type="dxa" w:w="100"/>
              <w:right w:type="dxa" w:w="120"/>
            </w:tcMar>
          </w:tcPr>
          <w:p>
            <w:r>
              <w:rPr>
                <w:b w:val="false"/>
                <w:bCs w:val="false"/>
                <w:color w:val="000000"/>
                <w:sz w:val="20"/>
                <w:szCs w:val="20"/>
              </w:rPr>
              <w:t xml:space="preserve">Manual timing using browser developer tools during system testing (Week 8–9.5)</w:t>
            </w:r>
          </w:p>
        </w:tc>
        <w:tc>
          <w:tcPr>
            <w:tcW w:type="dxa" w:w="2250"/>
            <w:tcMar>
              <w:top w:type="dxa" w:w="100"/>
              <w:left w:type="dxa" w:w="120"/>
              <w:bottom w:type="dxa" w:w="100"/>
              <w:right w:type="dxa" w:w="120"/>
            </w:tcMar>
          </w:tcPr>
          <w:p>
            <w:r>
              <w:rPr>
                <w:b w:val="false"/>
                <w:bCs w:val="false"/>
                <w:color w:val="000000"/>
                <w:sz w:val="20"/>
                <w:szCs w:val="20"/>
              </w:rPr>
              <w:t xml:space="preserve">Add a database index on the queried column before considering any code-level optimization, since Week 2's scalability discussion (Section 6.2) identified unindexed queries as the most likely cause</w:t>
            </w:r>
          </w:p>
        </w:tc>
      </w:tr>
      <w:tr>
        <w:tc>
          <w:tcPr>
            <w:tcW w:type="dxa" w:w="1800"/>
            <w:tcMar>
              <w:top w:type="dxa" w:w="100"/>
              <w:left w:type="dxa" w:w="120"/>
              <w:bottom w:type="dxa" w:w="100"/>
              <w:right w:type="dxa" w:w="120"/>
            </w:tcMar>
          </w:tcPr>
          <w:p>
            <w:r>
              <w:rPr>
                <w:b w:val="false"/>
                <w:bCs w:val="false"/>
                <w:color w:val="000000"/>
                <w:sz w:val="20"/>
                <w:szCs w:val="20"/>
              </w:rPr>
              <w:t xml:space="preserve">Critical (P1) defects at deployment</w:t>
            </w:r>
          </w:p>
        </w:tc>
        <w:tc>
          <w:tcPr>
            <w:tcW w:type="dxa" w:w="2650"/>
            <w:tcMar>
              <w:top w:type="dxa" w:w="100"/>
              <w:left w:type="dxa" w:w="120"/>
              <w:bottom w:type="dxa" w:w="100"/>
              <w:right w:type="dxa" w:w="120"/>
            </w:tcMar>
          </w:tcPr>
          <w:p>
            <w:r>
              <w:rPr>
                <w:b w:val="false"/>
                <w:bCs w:val="false"/>
                <w:color w:val="000000"/>
                <w:sz w:val="20"/>
                <w:szCs w:val="20"/>
              </w:rPr>
              <w:t xml:space="preserve">Zero open P1 defects before the deployment milestone (Week 3 roadmap, M8)</w:t>
            </w:r>
          </w:p>
        </w:tc>
        <w:tc>
          <w:tcPr>
            <w:tcW w:type="dxa" w:w="2650"/>
            <w:tcMar>
              <w:top w:type="dxa" w:w="100"/>
              <w:left w:type="dxa" w:w="120"/>
              <w:bottom w:type="dxa" w:w="100"/>
              <w:right w:type="dxa" w:w="120"/>
            </w:tcMar>
          </w:tcPr>
          <w:p>
            <w:r>
              <w:rPr>
                <w:b w:val="false"/>
                <w:bCs w:val="false"/>
                <w:color w:val="000000"/>
                <w:sz w:val="20"/>
                <w:szCs w:val="20"/>
              </w:rPr>
              <w:t xml:space="preserve">Defect tracking sheet status column, reviewed at the QA sign-off milestone (M7)</w:t>
            </w:r>
          </w:p>
        </w:tc>
        <w:tc>
          <w:tcPr>
            <w:tcW w:type="dxa" w:w="2250"/>
            <w:tcMar>
              <w:top w:type="dxa" w:w="100"/>
              <w:left w:type="dxa" w:w="120"/>
              <w:bottom w:type="dxa" w:w="100"/>
              <w:right w:type="dxa" w:w="120"/>
            </w:tcMar>
          </w:tcPr>
          <w:p>
            <w:r>
              <w:rPr>
                <w:b w:val="false"/>
                <w:bCs w:val="false"/>
                <w:color w:val="000000"/>
                <w:sz w:val="20"/>
                <w:szCs w:val="20"/>
              </w:rPr>
              <w:t xml:space="preserve">Deployment is delayed until all P1 defects are resolved; this is a hard gate, not a target</w:t>
            </w:r>
          </w:p>
        </w:tc>
      </w:tr>
    </w:tbl>
    <w:p>
      <w:pPr>
        <w:pStyle w:val="Heading1"/>
        <w:spacing w:after="200" w:before="360"/>
      </w:pPr>
      <w:r>
        <w:t xml:space="preserve">5. Automated vs. Manual Testing</w:t>
      </w:r>
    </w:p>
    <w:p>
      <w:pPr>
        <w:pStyle w:val="Heading2"/>
        <w:spacing w:after="160" w:before="240"/>
      </w:pPr>
      <w:r>
        <w:t xml:space="preserve">5.1 Automated Testing</w:t>
      </w:r>
    </w:p>
    <w:p>
      <w:pPr>
        <w:spacing w:after="200"/>
      </w:pPr>
      <w:r>
        <w:t xml:space="preserve">Automated tests are used for anything that will be run repeatedly and has a deterministic expected output — this covers all four sample test cases in Section 3, since each has a single correct answer that does not depend on human judgment.</w:t>
      </w:r>
    </w:p>
    <w:p>
      <w:pPr>
        <w:pStyle w:val="ListParagraph"/>
        <w:numPr>
          <w:ilvl w:val="0"/>
          <w:numId w:val="2"/>
        </w:numPr>
        <w:spacing w:after="120"/>
      </w:pPr>
      <w:r>
        <w:t xml:space="preserve">Advantages: runs in seconds, can be executed on every code change, and does not degrade in attentiveness over repeated runs (unlike manual testing of the same boundary case fifty times).</w:t>
      </w:r>
    </w:p>
    <w:p>
      <w:pPr>
        <w:pStyle w:val="ListParagraph"/>
        <w:numPr>
          <w:ilvl w:val="0"/>
          <w:numId w:val="2"/>
        </w:numPr>
        <w:spacing w:after="120"/>
      </w:pPr>
      <w:r>
        <w:t xml:space="preserve">Disadvantages: has an upfront cost to write, and does not catch problems automation was not specifically written to look for — such as a confusing button label, which is a valid defect but not something a unit test asserts on.</w:t>
      </w:r>
    </w:p>
    <w:p>
      <w:pPr>
        <w:pStyle w:val="ListParagraph"/>
        <w:numPr>
          <w:ilvl w:val="0"/>
          <w:numId w:val="2"/>
        </w:numPr>
        <w:spacing w:after="120"/>
      </w:pPr>
      <w:r>
        <w:t xml:space="preserve">Applied to: all unit tests (Section 2) and the boundary-value test case BUD-05 (Section 3.3), since threshold logic is exactly the kind of deterministic, repeatable check automation is suited for.</w:t>
      </w:r>
    </w:p>
    <w:p>
      <w:pPr>
        <w:pStyle w:val="Heading2"/>
        <w:spacing w:after="160" w:before="240"/>
      </w:pPr>
      <w:r>
        <w:t xml:space="preserve">5.2 Manual Testing</w:t>
      </w:r>
    </w:p>
    <w:p>
      <w:pPr>
        <w:spacing w:after="200"/>
      </w:pPr>
      <w:r>
        <w:t xml:space="preserve">Manual testing is reserved for cases requiring human judgment about usability, visual correctness, or realistic multi-step user behavior that would be expensive to script.</w:t>
      </w:r>
    </w:p>
    <w:p>
      <w:pPr>
        <w:pStyle w:val="ListParagraph"/>
        <w:numPr>
          <w:ilvl w:val="0"/>
          <w:numId w:val="2"/>
        </w:numPr>
        <w:spacing w:after="120"/>
      </w:pPr>
      <w:r>
        <w:t xml:space="preserve">Advantages: catches issues automation cannot define a pass/fail rule for, such as whether a budget-warning color is noticeable enough, or whether an error message is actually understandable to a non-technical user.</w:t>
      </w:r>
    </w:p>
    <w:p>
      <w:pPr>
        <w:pStyle w:val="ListParagraph"/>
        <w:numPr>
          <w:ilvl w:val="0"/>
          <w:numId w:val="2"/>
        </w:numPr>
        <w:spacing w:after="120"/>
      </w:pPr>
      <w:r>
        <w:t xml:space="preserve">Disadvantages: slower, and prone to the tester unconsciously following the "happy path" instead of trying to break the system, since the same person often both builds and tests the feature in a solo project.</w:t>
      </w:r>
    </w:p>
    <w:p>
      <w:pPr>
        <w:pStyle w:val="ListParagraph"/>
        <w:numPr>
          <w:ilvl w:val="0"/>
          <w:numId w:val="2"/>
        </w:numPr>
        <w:spacing w:after="120"/>
      </w:pPr>
      <w:r>
        <w:t xml:space="preserve">Applied to: the full click-through user journey described in the Week 3 roadmap (Section 7.3) — register, add expenses, set a budget, view dashboard, export CSV — performed manually once per sprint specifically because this journey's value is in the subjective experience of using it, not just whether each API call returns 200.</w:t>
      </w:r>
    </w:p>
    <w:p>
      <w:pPr>
        <w:pStyle w:val="Heading1"/>
        <w:spacing w:after="200" w:before="360"/>
      </w:pPr>
      <w:r>
        <w:t xml:space="preserve">6. Defect Tracking</w:t>
      </w:r>
    </w:p>
    <w:p>
      <w:pPr>
        <w:spacing w:after="200"/>
      </w:pPr>
      <w:r>
        <w:t xml:space="preserve">Defects are logged in a single tracking sheet (a spreadsheet, given the solo-developer scale of this project) rather than a full ticketing system, since the overhead of a multi-user tool is not justified for one person. Each entry records: a unique ID, a one-line summary, severity (P1–P3), the module affected (mapped to the Week 2 module breakdown), steps to reproduce, and status.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00"/>
        <w:gridCol w:w="2900"/>
        <w:gridCol w:w="2900"/>
        <w:gridCol w:w="1850"/>
      </w:tblGrid>
      <w:tr>
        <w:tc>
          <w:tcPr>
            <w:tcW w:type="dxa" w:w="1700"/>
            <w:shd w:fill="2F5496" w:val="clear"/>
            <w:tcMar>
              <w:top w:type="dxa" w:w="100"/>
              <w:left w:type="dxa" w:w="120"/>
              <w:bottom w:type="dxa" w:w="100"/>
              <w:right w:type="dxa" w:w="120"/>
            </w:tcMar>
          </w:tcPr>
          <w:p>
            <w:r>
              <w:rPr>
                <w:b/>
                <w:bCs/>
                <w:color w:val="FFFFFF"/>
                <w:sz w:val="20"/>
                <w:szCs w:val="20"/>
              </w:rPr>
              <w:t xml:space="preserve">Severity</w:t>
            </w:r>
          </w:p>
        </w:tc>
        <w:tc>
          <w:tcPr>
            <w:tcW w:type="dxa" w:w="2900"/>
            <w:shd w:fill="2F5496" w:val="clear"/>
            <w:tcMar>
              <w:top w:type="dxa" w:w="100"/>
              <w:left w:type="dxa" w:w="120"/>
              <w:bottom w:type="dxa" w:w="100"/>
              <w:right w:type="dxa" w:w="120"/>
            </w:tcMar>
          </w:tcPr>
          <w:p>
            <w:r>
              <w:rPr>
                <w:b/>
                <w:bCs/>
                <w:color w:val="FFFFFF"/>
                <w:sz w:val="20"/>
                <w:szCs w:val="20"/>
              </w:rPr>
              <w:t xml:space="preserve">Definition</w:t>
            </w:r>
          </w:p>
        </w:tc>
        <w:tc>
          <w:tcPr>
            <w:tcW w:type="dxa" w:w="2900"/>
            <w:shd w:fill="2F5496" w:val="clear"/>
            <w:tcMar>
              <w:top w:type="dxa" w:w="100"/>
              <w:left w:type="dxa" w:w="120"/>
              <w:bottom w:type="dxa" w:w="100"/>
              <w:right w:type="dxa" w:w="120"/>
            </w:tcMar>
          </w:tcPr>
          <w:p>
            <w:r>
              <w:rPr>
                <w:b/>
                <w:bCs/>
                <w:color w:val="FFFFFF"/>
                <w:sz w:val="20"/>
                <w:szCs w:val="20"/>
              </w:rPr>
              <w:t xml:space="preserve">Example</w:t>
            </w:r>
          </w:p>
        </w:tc>
        <w:tc>
          <w:tcPr>
            <w:tcW w:type="dxa" w:w="1850"/>
            <w:shd w:fill="2F5496" w:val="clear"/>
            <w:tcMar>
              <w:top w:type="dxa" w:w="100"/>
              <w:left w:type="dxa" w:w="120"/>
              <w:bottom w:type="dxa" w:w="100"/>
              <w:right w:type="dxa" w:w="120"/>
            </w:tcMar>
          </w:tcPr>
          <w:p>
            <w:r>
              <w:rPr>
                <w:b/>
                <w:bCs/>
                <w:color w:val="FFFFFF"/>
                <w:sz w:val="20"/>
                <w:szCs w:val="20"/>
              </w:rPr>
              <w:t xml:space="preserve">Response Time</w:t>
            </w:r>
          </w:p>
        </w:tc>
      </w:tr>
      <w:tr>
        <w:tc>
          <w:tcPr>
            <w:tcW w:type="dxa" w:w="1700"/>
            <w:tcMar>
              <w:top w:type="dxa" w:w="100"/>
              <w:left w:type="dxa" w:w="120"/>
              <w:bottom w:type="dxa" w:w="100"/>
              <w:right w:type="dxa" w:w="120"/>
            </w:tcMar>
          </w:tcPr>
          <w:p>
            <w:r>
              <w:rPr>
                <w:b w:val="false"/>
                <w:bCs w:val="false"/>
                <w:color w:val="000000"/>
                <w:sz w:val="20"/>
                <w:szCs w:val="20"/>
              </w:rPr>
              <w:t xml:space="preserve">P1 — Critical</w:t>
            </w:r>
          </w:p>
        </w:tc>
        <w:tc>
          <w:tcPr>
            <w:tcW w:type="dxa" w:w="2900"/>
            <w:tcMar>
              <w:top w:type="dxa" w:w="100"/>
              <w:left w:type="dxa" w:w="120"/>
              <w:bottom w:type="dxa" w:w="100"/>
              <w:right w:type="dxa" w:w="120"/>
            </w:tcMar>
          </w:tcPr>
          <w:p>
            <w:r>
              <w:rPr>
                <w:b w:val="false"/>
                <w:bCs w:val="false"/>
                <w:color w:val="000000"/>
                <w:sz w:val="20"/>
                <w:szCs w:val="20"/>
              </w:rPr>
              <w:t xml:space="preserve">Blocks core functionality or causes data loss; no workaround exists</w:t>
            </w:r>
          </w:p>
        </w:tc>
        <w:tc>
          <w:tcPr>
            <w:tcW w:type="dxa" w:w="2900"/>
            <w:tcMar>
              <w:top w:type="dxa" w:w="100"/>
              <w:left w:type="dxa" w:w="120"/>
              <w:bottom w:type="dxa" w:w="100"/>
              <w:right w:type="dxa" w:w="120"/>
            </w:tcMar>
          </w:tcPr>
          <w:p>
            <w:r>
              <w:rPr>
                <w:b w:val="false"/>
                <w:bCs w:val="false"/>
                <w:color w:val="000000"/>
                <w:sz w:val="20"/>
                <w:szCs w:val="20"/>
              </w:rPr>
              <w:t xml:space="preserve">A saved expense silently disappears after page refresh</w:t>
            </w:r>
          </w:p>
        </w:tc>
        <w:tc>
          <w:tcPr>
            <w:tcW w:type="dxa" w:w="1850"/>
            <w:tcMar>
              <w:top w:type="dxa" w:w="100"/>
              <w:left w:type="dxa" w:w="120"/>
              <w:bottom w:type="dxa" w:w="100"/>
              <w:right w:type="dxa" w:w="120"/>
            </w:tcMar>
          </w:tcPr>
          <w:p>
            <w:r>
              <w:rPr>
                <w:b w:val="false"/>
                <w:bCs w:val="false"/>
                <w:color w:val="000000"/>
                <w:sz w:val="20"/>
                <w:szCs w:val="20"/>
              </w:rPr>
              <w:t xml:space="preserve">Fixed before the current sprint is considered complete</w:t>
            </w:r>
          </w:p>
        </w:tc>
      </w:tr>
      <w:tr>
        <w:tc>
          <w:tcPr>
            <w:tcW w:type="dxa" w:w="1700"/>
            <w:tcMar>
              <w:top w:type="dxa" w:w="100"/>
              <w:left w:type="dxa" w:w="120"/>
              <w:bottom w:type="dxa" w:w="100"/>
              <w:right w:type="dxa" w:w="120"/>
            </w:tcMar>
          </w:tcPr>
          <w:p>
            <w:r>
              <w:rPr>
                <w:b w:val="false"/>
                <w:bCs w:val="false"/>
                <w:color w:val="000000"/>
                <w:sz w:val="20"/>
                <w:szCs w:val="20"/>
              </w:rPr>
              <w:t xml:space="preserve">P2 — Major</w:t>
            </w:r>
          </w:p>
        </w:tc>
        <w:tc>
          <w:tcPr>
            <w:tcW w:type="dxa" w:w="2900"/>
            <w:tcMar>
              <w:top w:type="dxa" w:w="100"/>
              <w:left w:type="dxa" w:w="120"/>
              <w:bottom w:type="dxa" w:w="100"/>
              <w:right w:type="dxa" w:w="120"/>
            </w:tcMar>
          </w:tcPr>
          <w:p>
            <w:r>
              <w:rPr>
                <w:b w:val="false"/>
                <w:bCs w:val="false"/>
                <w:color w:val="000000"/>
                <w:sz w:val="20"/>
                <w:szCs w:val="20"/>
              </w:rPr>
              <w:t xml:space="preserve">A feature works incorrectly but has a workaround, or affects a non-core feature</w:t>
            </w:r>
          </w:p>
        </w:tc>
        <w:tc>
          <w:tcPr>
            <w:tcW w:type="dxa" w:w="2900"/>
            <w:tcMar>
              <w:top w:type="dxa" w:w="100"/>
              <w:left w:type="dxa" w:w="120"/>
              <w:bottom w:type="dxa" w:w="100"/>
              <w:right w:type="dxa" w:w="120"/>
            </w:tcMar>
          </w:tcPr>
          <w:p>
            <w:r>
              <w:rPr>
                <w:b w:val="false"/>
                <w:bCs w:val="false"/>
                <w:color w:val="000000"/>
                <w:sz w:val="20"/>
                <w:szCs w:val="20"/>
              </w:rPr>
              <w:t xml:space="preserve">CSV export omits the header row but totals are still correct</w:t>
            </w:r>
          </w:p>
        </w:tc>
        <w:tc>
          <w:tcPr>
            <w:tcW w:type="dxa" w:w="1850"/>
            <w:tcMar>
              <w:top w:type="dxa" w:w="100"/>
              <w:left w:type="dxa" w:w="120"/>
              <w:bottom w:type="dxa" w:w="100"/>
              <w:right w:type="dxa" w:w="120"/>
            </w:tcMar>
          </w:tcPr>
          <w:p>
            <w:r>
              <w:rPr>
                <w:b w:val="false"/>
                <w:bCs w:val="false"/>
                <w:color w:val="000000"/>
                <w:sz w:val="20"/>
                <w:szCs w:val="20"/>
              </w:rPr>
              <w:t xml:space="preserve">Fixed before the next milestone (per Week 3 milestone table)</w:t>
            </w:r>
          </w:p>
        </w:tc>
      </w:tr>
      <w:tr>
        <w:tc>
          <w:tcPr>
            <w:tcW w:type="dxa" w:w="1700"/>
            <w:tcMar>
              <w:top w:type="dxa" w:w="100"/>
              <w:left w:type="dxa" w:w="120"/>
              <w:bottom w:type="dxa" w:w="100"/>
              <w:right w:type="dxa" w:w="120"/>
            </w:tcMar>
          </w:tcPr>
          <w:p>
            <w:r>
              <w:rPr>
                <w:b w:val="false"/>
                <w:bCs w:val="false"/>
                <w:color w:val="000000"/>
                <w:sz w:val="20"/>
                <w:szCs w:val="20"/>
              </w:rPr>
              <w:t xml:space="preserve">P3 — Minor</w:t>
            </w:r>
          </w:p>
        </w:tc>
        <w:tc>
          <w:tcPr>
            <w:tcW w:type="dxa" w:w="2900"/>
            <w:tcMar>
              <w:top w:type="dxa" w:w="100"/>
              <w:left w:type="dxa" w:w="120"/>
              <w:bottom w:type="dxa" w:w="100"/>
              <w:right w:type="dxa" w:w="120"/>
            </w:tcMar>
          </w:tcPr>
          <w:p>
            <w:r>
              <w:rPr>
                <w:b w:val="false"/>
                <w:bCs w:val="false"/>
                <w:color w:val="000000"/>
                <w:sz w:val="20"/>
                <w:szCs w:val="20"/>
              </w:rPr>
              <w:t xml:space="preserve">Cosmetic or low-impact issue with no functional consequence</w:t>
            </w:r>
          </w:p>
        </w:tc>
        <w:tc>
          <w:tcPr>
            <w:tcW w:type="dxa" w:w="2900"/>
            <w:tcMar>
              <w:top w:type="dxa" w:w="100"/>
              <w:left w:type="dxa" w:w="120"/>
              <w:bottom w:type="dxa" w:w="100"/>
              <w:right w:type="dxa" w:w="120"/>
            </w:tcMar>
          </w:tcPr>
          <w:p>
            <w:r>
              <w:rPr>
                <w:b w:val="false"/>
                <w:bCs w:val="false"/>
                <w:color w:val="000000"/>
                <w:sz w:val="20"/>
                <w:szCs w:val="20"/>
              </w:rPr>
              <w:t xml:space="preserve">Budget-warning color is amber instead of the specified orange</w:t>
            </w:r>
          </w:p>
        </w:tc>
        <w:tc>
          <w:tcPr>
            <w:tcW w:type="dxa" w:w="1850"/>
            <w:tcMar>
              <w:top w:type="dxa" w:w="100"/>
              <w:left w:type="dxa" w:w="120"/>
              <w:bottom w:type="dxa" w:w="100"/>
              <w:right w:type="dxa" w:w="120"/>
            </w:tcMar>
          </w:tcPr>
          <w:p>
            <w:r>
              <w:rPr>
                <w:b w:val="false"/>
                <w:bCs w:val="false"/>
                <w:color w:val="000000"/>
                <w:sz w:val="20"/>
                <w:szCs w:val="20"/>
              </w:rPr>
              <w:t xml:space="preserve">Fixed opportunistically, or deferred to a post-MVP backlog</w:t>
            </w:r>
          </w:p>
        </w:tc>
      </w:tr>
    </w:tbl>
    <w:p>
      <w:pPr>
        <w:spacing w:after="200"/>
      </w:pPr>
      <w:r>
        <w:t xml:space="preserve">The defect lifecycle has four states: Open (logged, not yet investigated), In Progress (actively being fixed), Fixed (code change made, awaiting retest), and Closed (retested and confirmed resolved). A defect is never marked Closed by the same test run that found it — it requires a separate retest step, which prevents the common mistake of confusing "I made a change" with "I confirmed the change actually fixed it."</w:t>
      </w:r>
    </w:p>
    <w:p>
      <w:pPr>
        <w:pStyle w:val="Heading1"/>
        <w:spacing w:after="200" w:before="360"/>
      </w:pPr>
      <w:r>
        <w:t xml:space="preserve">7. Review Process</w:t>
      </w:r>
    </w:p>
    <w:p>
      <w:pPr>
        <w:spacing w:after="200"/>
      </w:pPr>
      <w:r>
        <w:t xml:space="preserve">Since this is a solo project, a traditional peer code review (a second developer approving a pull request) is not available. This gap is addressed with a structured self-review process rather than skipped entirely:</w:t>
      </w:r>
    </w:p>
    <w:p>
      <w:pPr>
        <w:pStyle w:val="ListParagraph"/>
        <w:numPr>
          <w:ilvl w:val="0"/>
          <w:numId w:val="2"/>
        </w:numPr>
        <w:spacing w:after="120"/>
      </w:pPr>
      <w:r>
        <w:t xml:space="preserve">Before merging any module's code, a checklist is run against it: does it match the module's documented responsibilities and inputs/outputs (Week 2, Section 3)? Does it have unit tests meeting the 80% coverage target (Section 4)? Does it use the repository pattern for all database access, or does it bypass it (Week 2, Section 3.4)?</w:t>
      </w:r>
    </w:p>
    <w:p>
      <w:pPr>
        <w:pStyle w:val="ListParagraph"/>
        <w:numPr>
          <w:ilvl w:val="0"/>
          <w:numId w:val="2"/>
        </w:numPr>
        <w:spacing w:after="120"/>
      </w:pPr>
      <w:r>
        <w:t xml:space="preserve">A minimum 24-hour gap is enforced between finishing a module's code and reviewing it, so the review happens with fresh eyes rather than immediately after writing the code, when the author's familiarity with intended behavior masks actual defects.</w:t>
      </w:r>
    </w:p>
    <w:p>
      <w:pPr>
        <w:pStyle w:val="ListParagraph"/>
        <w:numPr>
          <w:ilvl w:val="0"/>
          <w:numId w:val="2"/>
        </w:numPr>
        <w:spacing w:after="120"/>
      </w:pPr>
      <w:r>
        <w:t xml:space="preserve">Where possible, an automated linter and a static-analysis tool (both free, publicly available tools) are run as a substitute for some of what a human reviewer would catch, such as unused variables or inconsistent formatting, freeing the self-review checklist to focus on logic and architecture conformance rather than style.</w:t>
      </w:r>
    </w:p>
    <w:p>
      <w:pPr>
        <w:spacing w:after="200"/>
      </w:pPr>
      <w:r>
        <w:t xml:space="preserve">This process cannot fully replace an independent second reviewer — self-review has a structural blind spot, since the same assumptions that caused a bug are likely to also seem reasonable during self-review of that same code. This limitation is acknowledged explicitly rather than presented as equivalent to peer review, and is one reason the automated test coverage target (Section 4) is set deliberately high: automated tests do not share the author's blind spots.</w:t>
      </w:r>
    </w:p>
    <w:p>
      <w:pPr>
        <w:pStyle w:val="Heading1"/>
        <w:spacing w:after="200" w:before="360"/>
      </w:pPr>
      <w:r>
        <w:t xml:space="preserve">8. Conclusion</w:t>
      </w:r>
    </w:p>
    <w:p>
      <w:pPr>
        <w:spacing w:after="200"/>
      </w:pPr>
      <w:r>
        <w:t xml:space="preserve">This plan defines four levels of testing, four detailed sample test cases spanning every module from the Week 2 architecture, four measurable QA metrics with explicit thresholds and consequences, a clear division between automated and manual testing based on determinism versus judgment, a lightweight but complete defect-tracking process, and a self-review process that names its own limitations rather than overstating its rigor. Combined with the Week 1 requirements, Week 2 architecture, and Week 3 roadmap, this document completes the planning phase of PocketLedger and leaves the project ready for implementation to begin.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2026-08-30T15:30:03.727Z</dcterms:created>
  <dcterms:modified xsi:type="dcterms:W3CDTF">2026-08-30T15:30:03.727Z</dcterms:modified>
</cp:coreProperties>
</file>

<file path=docProps/custom.xml><?xml version="1.0" encoding="utf-8"?>
<Properties xmlns="http://schemas.openxmlformats.org/officeDocument/2006/custom-properties" xmlns:vt="http://schemas.openxmlformats.org/officeDocument/2006/docPropsVTypes"/>
</file>