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5CB8A" w14:textId="77777777" w:rsidR="005D7CE9" w:rsidRDefault="00000000">
      <w:pPr>
        <w:spacing w:before="1800" w:after="200"/>
        <w:jc w:val="center"/>
      </w:pPr>
      <w:r>
        <w:rPr>
          <w:b/>
          <w:bCs/>
          <w:sz w:val="34"/>
          <w:szCs w:val="34"/>
        </w:rPr>
        <w:t>Final Project Evaluation, Retrospective, and Future Roadmap</w:t>
      </w:r>
    </w:p>
    <w:p w14:paraId="7B7E2FBE" w14:textId="77777777" w:rsidR="005D7CE9" w:rsidRDefault="00000000">
      <w:pPr>
        <w:spacing w:after="100"/>
        <w:jc w:val="center"/>
      </w:pPr>
      <w:r>
        <w:rPr>
          <w:sz w:val="28"/>
          <w:szCs w:val="28"/>
        </w:rPr>
        <w:t xml:space="preserve">Project: </w:t>
      </w:r>
      <w:proofErr w:type="spellStart"/>
      <w:r>
        <w:rPr>
          <w:sz w:val="28"/>
          <w:szCs w:val="28"/>
        </w:rPr>
        <w:t>PocketLedger</w:t>
      </w:r>
      <w:proofErr w:type="spellEnd"/>
      <w:r>
        <w:rPr>
          <w:sz w:val="28"/>
          <w:szCs w:val="28"/>
        </w:rPr>
        <w:t xml:space="preserve"> — Personal Expense Tracker</w:t>
      </w:r>
    </w:p>
    <w:p w14:paraId="32FA7839" w14:textId="078A1FFC" w:rsidR="005D7CE9" w:rsidRDefault="00000000">
      <w:pPr>
        <w:spacing w:after="100"/>
        <w:jc w:val="center"/>
      </w:pPr>
      <w:r>
        <w:rPr>
          <w:color w:val="555555"/>
          <w:sz w:val="24"/>
          <w:szCs w:val="24"/>
        </w:rPr>
        <w:t>Prepared by: Varsha</w:t>
      </w:r>
      <w:r w:rsidR="008911D1">
        <w:rPr>
          <w:color w:val="555555"/>
          <w:sz w:val="24"/>
          <w:szCs w:val="24"/>
        </w:rPr>
        <w:t xml:space="preserve"> J Samarth</w:t>
      </w:r>
    </w:p>
    <w:p w14:paraId="4DE2E146" w14:textId="77777777" w:rsidR="005D7CE9" w:rsidRDefault="00000000">
      <w:pPr>
        <w:spacing w:after="100"/>
        <w:jc w:val="center"/>
      </w:pPr>
      <w:r>
        <w:rPr>
          <w:color w:val="555555"/>
          <w:sz w:val="24"/>
          <w:szCs w:val="24"/>
        </w:rPr>
        <w:t>Role: Junior Software Developer Intern</w:t>
      </w:r>
    </w:p>
    <w:p w14:paraId="13E9079C" w14:textId="77777777" w:rsidR="005D7CE9" w:rsidRDefault="00000000">
      <w:pPr>
        <w:jc w:val="center"/>
      </w:pPr>
      <w:r>
        <w:rPr>
          <w:color w:val="555555"/>
          <w:sz w:val="24"/>
          <w:szCs w:val="24"/>
        </w:rPr>
        <w:t>Version 1.0 — Week 6 (Final) Deliverable</w:t>
      </w:r>
    </w:p>
    <w:p w14:paraId="6DD5A298" w14:textId="77777777" w:rsidR="005D7CE9" w:rsidRDefault="00000000">
      <w:r>
        <w:br w:type="page"/>
      </w:r>
    </w:p>
    <w:p w14:paraId="37CB8087" w14:textId="77777777" w:rsidR="005D7CE9" w:rsidRDefault="00000000">
      <w:pPr>
        <w:pStyle w:val="Heading1"/>
        <w:spacing w:after="200"/>
      </w:pPr>
      <w:bookmarkStart w:id="0" w:name="_Toc239074730"/>
      <w:r>
        <w:lastRenderedPageBreak/>
        <w:t>Table of Contents</w:t>
      </w:r>
      <w:bookmarkEnd w:id="0"/>
    </w:p>
    <w:sdt>
      <w:sdtPr>
        <w:alias w:val="Table of Contents"/>
        <w:id w:val="1714767334"/>
      </w:sdtPr>
      <w:sdtContent>
        <w:p w14:paraId="150E96AF" w14:textId="77777777" w:rsidR="008911D1" w:rsidRDefault="00000000">
          <w:pPr>
            <w:pStyle w:val="TOC1"/>
            <w:tabs>
              <w:tab w:val="right" w:leader="dot" w:pos="9350"/>
            </w:tabs>
            <w:rPr>
              <w:noProof/>
            </w:rPr>
          </w:pPr>
          <w:r>
            <w:fldChar w:fldCharType="begin"/>
          </w:r>
          <w:r>
            <w:instrText>TOC \h \o "1-2"</w:instrText>
          </w:r>
          <w:r>
            <w:fldChar w:fldCharType="separate"/>
          </w:r>
          <w:hyperlink w:anchor="_Toc239074730" w:history="1">
            <w:r w:rsidR="008911D1" w:rsidRPr="00F96602">
              <w:rPr>
                <w:rStyle w:val="Hyperlink"/>
                <w:noProof/>
              </w:rPr>
              <w:t>Table of Contents</w:t>
            </w:r>
            <w:r w:rsidR="008911D1">
              <w:rPr>
                <w:noProof/>
              </w:rPr>
              <w:tab/>
            </w:r>
            <w:r w:rsidR="008911D1">
              <w:rPr>
                <w:noProof/>
              </w:rPr>
              <w:fldChar w:fldCharType="begin"/>
            </w:r>
            <w:r w:rsidR="008911D1">
              <w:rPr>
                <w:noProof/>
              </w:rPr>
              <w:instrText xml:space="preserve"> PAGEREF _Toc239074730 \h </w:instrText>
            </w:r>
            <w:r w:rsidR="008911D1">
              <w:rPr>
                <w:noProof/>
              </w:rPr>
            </w:r>
            <w:r w:rsidR="008911D1">
              <w:rPr>
                <w:noProof/>
              </w:rPr>
              <w:fldChar w:fldCharType="separate"/>
            </w:r>
            <w:r w:rsidR="008911D1">
              <w:rPr>
                <w:noProof/>
              </w:rPr>
              <w:t>2</w:t>
            </w:r>
            <w:r w:rsidR="008911D1">
              <w:rPr>
                <w:noProof/>
              </w:rPr>
              <w:fldChar w:fldCharType="end"/>
            </w:r>
          </w:hyperlink>
        </w:p>
        <w:p w14:paraId="6BB770AB" w14:textId="77777777" w:rsidR="008911D1" w:rsidRDefault="008911D1">
          <w:pPr>
            <w:pStyle w:val="TOC1"/>
            <w:tabs>
              <w:tab w:val="right" w:leader="dot" w:pos="9350"/>
            </w:tabs>
            <w:rPr>
              <w:noProof/>
            </w:rPr>
          </w:pPr>
          <w:hyperlink w:anchor="_Toc239074731" w:history="1">
            <w:r w:rsidRPr="00F96602">
              <w:rPr>
                <w:rStyle w:val="Hyperlink"/>
                <w:noProof/>
              </w:rPr>
              <w:t>1. Introduction</w:t>
            </w:r>
            <w:r>
              <w:rPr>
                <w:noProof/>
              </w:rPr>
              <w:tab/>
            </w:r>
            <w:r>
              <w:rPr>
                <w:noProof/>
              </w:rPr>
              <w:fldChar w:fldCharType="begin"/>
            </w:r>
            <w:r>
              <w:rPr>
                <w:noProof/>
              </w:rPr>
              <w:instrText xml:space="preserve"> PAGEREF _Toc239074731 \h </w:instrText>
            </w:r>
            <w:r>
              <w:rPr>
                <w:noProof/>
              </w:rPr>
            </w:r>
            <w:r>
              <w:rPr>
                <w:noProof/>
              </w:rPr>
              <w:fldChar w:fldCharType="separate"/>
            </w:r>
            <w:r>
              <w:rPr>
                <w:noProof/>
              </w:rPr>
              <w:t>3</w:t>
            </w:r>
            <w:r>
              <w:rPr>
                <w:noProof/>
              </w:rPr>
              <w:fldChar w:fldCharType="end"/>
            </w:r>
          </w:hyperlink>
        </w:p>
        <w:p w14:paraId="776A39B1" w14:textId="77777777" w:rsidR="008911D1" w:rsidRDefault="008911D1">
          <w:pPr>
            <w:pStyle w:val="TOC1"/>
            <w:tabs>
              <w:tab w:val="right" w:leader="dot" w:pos="9350"/>
            </w:tabs>
            <w:rPr>
              <w:noProof/>
            </w:rPr>
          </w:pPr>
          <w:hyperlink w:anchor="_Toc239074732" w:history="1">
            <w:r w:rsidRPr="00F96602">
              <w:rPr>
                <w:rStyle w:val="Hyperlink"/>
                <w:noProof/>
              </w:rPr>
              <w:t>2. Project Retrospective</w:t>
            </w:r>
            <w:r>
              <w:rPr>
                <w:noProof/>
              </w:rPr>
              <w:tab/>
            </w:r>
            <w:r>
              <w:rPr>
                <w:noProof/>
              </w:rPr>
              <w:fldChar w:fldCharType="begin"/>
            </w:r>
            <w:r>
              <w:rPr>
                <w:noProof/>
              </w:rPr>
              <w:instrText xml:space="preserve"> PAGEREF _Toc239074732 \h </w:instrText>
            </w:r>
            <w:r>
              <w:rPr>
                <w:noProof/>
              </w:rPr>
            </w:r>
            <w:r>
              <w:rPr>
                <w:noProof/>
              </w:rPr>
              <w:fldChar w:fldCharType="separate"/>
            </w:r>
            <w:r>
              <w:rPr>
                <w:noProof/>
              </w:rPr>
              <w:t>4</w:t>
            </w:r>
            <w:r>
              <w:rPr>
                <w:noProof/>
              </w:rPr>
              <w:fldChar w:fldCharType="end"/>
            </w:r>
          </w:hyperlink>
        </w:p>
        <w:p w14:paraId="413438F5" w14:textId="77777777" w:rsidR="008911D1" w:rsidRDefault="008911D1">
          <w:pPr>
            <w:pStyle w:val="TOC2"/>
            <w:tabs>
              <w:tab w:val="right" w:leader="dot" w:pos="9350"/>
            </w:tabs>
            <w:rPr>
              <w:noProof/>
            </w:rPr>
          </w:pPr>
          <w:hyperlink w:anchor="_Toc239074733" w:history="1">
            <w:r w:rsidRPr="00F96602">
              <w:rPr>
                <w:rStyle w:val="Hyperlink"/>
                <w:noProof/>
              </w:rPr>
              <w:t>2.1 Technical Retrospective</w:t>
            </w:r>
            <w:r>
              <w:rPr>
                <w:noProof/>
              </w:rPr>
              <w:tab/>
            </w:r>
            <w:r>
              <w:rPr>
                <w:noProof/>
              </w:rPr>
              <w:fldChar w:fldCharType="begin"/>
            </w:r>
            <w:r>
              <w:rPr>
                <w:noProof/>
              </w:rPr>
              <w:instrText xml:space="preserve"> PAGEREF _Toc239074733 \h </w:instrText>
            </w:r>
            <w:r>
              <w:rPr>
                <w:noProof/>
              </w:rPr>
            </w:r>
            <w:r>
              <w:rPr>
                <w:noProof/>
              </w:rPr>
              <w:fldChar w:fldCharType="separate"/>
            </w:r>
            <w:r>
              <w:rPr>
                <w:noProof/>
              </w:rPr>
              <w:t>4</w:t>
            </w:r>
            <w:r>
              <w:rPr>
                <w:noProof/>
              </w:rPr>
              <w:fldChar w:fldCharType="end"/>
            </w:r>
          </w:hyperlink>
        </w:p>
        <w:p w14:paraId="0B79DA03" w14:textId="77777777" w:rsidR="008911D1" w:rsidRDefault="008911D1">
          <w:pPr>
            <w:pStyle w:val="TOC2"/>
            <w:tabs>
              <w:tab w:val="right" w:leader="dot" w:pos="9350"/>
            </w:tabs>
            <w:rPr>
              <w:noProof/>
            </w:rPr>
          </w:pPr>
          <w:hyperlink w:anchor="_Toc239074734" w:history="1">
            <w:r w:rsidRPr="00F96602">
              <w:rPr>
                <w:rStyle w:val="Hyperlink"/>
                <w:noProof/>
              </w:rPr>
              <w:t>2.2 Process-Oriented Retrospective</w:t>
            </w:r>
            <w:r>
              <w:rPr>
                <w:noProof/>
              </w:rPr>
              <w:tab/>
            </w:r>
            <w:r>
              <w:rPr>
                <w:noProof/>
              </w:rPr>
              <w:fldChar w:fldCharType="begin"/>
            </w:r>
            <w:r>
              <w:rPr>
                <w:noProof/>
              </w:rPr>
              <w:instrText xml:space="preserve"> PAGEREF _Toc239074734 \h </w:instrText>
            </w:r>
            <w:r>
              <w:rPr>
                <w:noProof/>
              </w:rPr>
            </w:r>
            <w:r>
              <w:rPr>
                <w:noProof/>
              </w:rPr>
              <w:fldChar w:fldCharType="separate"/>
            </w:r>
            <w:r>
              <w:rPr>
                <w:noProof/>
              </w:rPr>
              <w:t>4</w:t>
            </w:r>
            <w:r>
              <w:rPr>
                <w:noProof/>
              </w:rPr>
              <w:fldChar w:fldCharType="end"/>
            </w:r>
          </w:hyperlink>
        </w:p>
        <w:p w14:paraId="5CAD51BF" w14:textId="77777777" w:rsidR="008911D1" w:rsidRDefault="008911D1">
          <w:pPr>
            <w:pStyle w:val="TOC2"/>
            <w:tabs>
              <w:tab w:val="right" w:leader="dot" w:pos="9350"/>
            </w:tabs>
            <w:rPr>
              <w:noProof/>
            </w:rPr>
          </w:pPr>
          <w:hyperlink w:anchor="_Toc239074735" w:history="1">
            <w:r w:rsidRPr="00F96602">
              <w:rPr>
                <w:rStyle w:val="Hyperlink"/>
                <w:noProof/>
              </w:rPr>
              <w:t>2.3 Collaboration Retrospective</w:t>
            </w:r>
            <w:r>
              <w:rPr>
                <w:noProof/>
              </w:rPr>
              <w:tab/>
            </w:r>
            <w:r>
              <w:rPr>
                <w:noProof/>
              </w:rPr>
              <w:fldChar w:fldCharType="begin"/>
            </w:r>
            <w:r>
              <w:rPr>
                <w:noProof/>
              </w:rPr>
              <w:instrText xml:space="preserve"> PAGEREF _Toc239074735 \h </w:instrText>
            </w:r>
            <w:r>
              <w:rPr>
                <w:noProof/>
              </w:rPr>
            </w:r>
            <w:r>
              <w:rPr>
                <w:noProof/>
              </w:rPr>
              <w:fldChar w:fldCharType="separate"/>
            </w:r>
            <w:r>
              <w:rPr>
                <w:noProof/>
              </w:rPr>
              <w:t>4</w:t>
            </w:r>
            <w:r>
              <w:rPr>
                <w:noProof/>
              </w:rPr>
              <w:fldChar w:fldCharType="end"/>
            </w:r>
          </w:hyperlink>
        </w:p>
        <w:p w14:paraId="0025F01F" w14:textId="77777777" w:rsidR="008911D1" w:rsidRDefault="008911D1">
          <w:pPr>
            <w:pStyle w:val="TOC1"/>
            <w:tabs>
              <w:tab w:val="right" w:leader="dot" w:pos="9350"/>
            </w:tabs>
            <w:rPr>
              <w:noProof/>
            </w:rPr>
          </w:pPr>
          <w:hyperlink w:anchor="_Toc239074736" w:history="1">
            <w:r w:rsidRPr="00F96602">
              <w:rPr>
                <w:rStyle w:val="Hyperlink"/>
                <w:noProof/>
              </w:rPr>
              <w:t>3. Evaluation Metrics (KPIs)</w:t>
            </w:r>
            <w:r>
              <w:rPr>
                <w:noProof/>
              </w:rPr>
              <w:tab/>
            </w:r>
            <w:r>
              <w:rPr>
                <w:noProof/>
              </w:rPr>
              <w:fldChar w:fldCharType="begin"/>
            </w:r>
            <w:r>
              <w:rPr>
                <w:noProof/>
              </w:rPr>
              <w:instrText xml:space="preserve"> PAGEREF _Toc239074736 \h </w:instrText>
            </w:r>
            <w:r>
              <w:rPr>
                <w:noProof/>
              </w:rPr>
            </w:r>
            <w:r>
              <w:rPr>
                <w:noProof/>
              </w:rPr>
              <w:fldChar w:fldCharType="separate"/>
            </w:r>
            <w:r>
              <w:rPr>
                <w:noProof/>
              </w:rPr>
              <w:t>5</w:t>
            </w:r>
            <w:r>
              <w:rPr>
                <w:noProof/>
              </w:rPr>
              <w:fldChar w:fldCharType="end"/>
            </w:r>
          </w:hyperlink>
        </w:p>
        <w:p w14:paraId="4A797FAC" w14:textId="77777777" w:rsidR="008911D1" w:rsidRDefault="008911D1">
          <w:pPr>
            <w:pStyle w:val="TOC1"/>
            <w:tabs>
              <w:tab w:val="right" w:leader="dot" w:pos="9350"/>
            </w:tabs>
            <w:rPr>
              <w:noProof/>
            </w:rPr>
          </w:pPr>
          <w:hyperlink w:anchor="_Toc239074737" w:history="1">
            <w:r w:rsidRPr="00F96602">
              <w:rPr>
                <w:rStyle w:val="Hyperlink"/>
                <w:noProof/>
              </w:rPr>
              <w:t>4. Lessons Learned</w:t>
            </w:r>
            <w:r>
              <w:rPr>
                <w:noProof/>
              </w:rPr>
              <w:tab/>
            </w:r>
            <w:r>
              <w:rPr>
                <w:noProof/>
              </w:rPr>
              <w:fldChar w:fldCharType="begin"/>
            </w:r>
            <w:r>
              <w:rPr>
                <w:noProof/>
              </w:rPr>
              <w:instrText xml:space="preserve"> PAGEREF _Toc239074737 \h </w:instrText>
            </w:r>
            <w:r>
              <w:rPr>
                <w:noProof/>
              </w:rPr>
            </w:r>
            <w:r>
              <w:rPr>
                <w:noProof/>
              </w:rPr>
              <w:fldChar w:fldCharType="separate"/>
            </w:r>
            <w:r>
              <w:rPr>
                <w:noProof/>
              </w:rPr>
              <w:t>6</w:t>
            </w:r>
            <w:r>
              <w:rPr>
                <w:noProof/>
              </w:rPr>
              <w:fldChar w:fldCharType="end"/>
            </w:r>
          </w:hyperlink>
        </w:p>
        <w:p w14:paraId="3223BBFC" w14:textId="77777777" w:rsidR="008911D1" w:rsidRDefault="008911D1">
          <w:pPr>
            <w:pStyle w:val="TOC1"/>
            <w:tabs>
              <w:tab w:val="right" w:leader="dot" w:pos="9350"/>
            </w:tabs>
            <w:rPr>
              <w:noProof/>
            </w:rPr>
          </w:pPr>
          <w:hyperlink w:anchor="_Toc239074738" w:history="1">
            <w:r w:rsidRPr="00F96602">
              <w:rPr>
                <w:rStyle w:val="Hyperlink"/>
                <w:noProof/>
              </w:rPr>
              <w:t>5. Security Analysis</w:t>
            </w:r>
            <w:r>
              <w:rPr>
                <w:noProof/>
              </w:rPr>
              <w:tab/>
            </w:r>
            <w:r>
              <w:rPr>
                <w:noProof/>
              </w:rPr>
              <w:fldChar w:fldCharType="begin"/>
            </w:r>
            <w:r>
              <w:rPr>
                <w:noProof/>
              </w:rPr>
              <w:instrText xml:space="preserve"> PAGEREF _Toc239074738 \h </w:instrText>
            </w:r>
            <w:r>
              <w:rPr>
                <w:noProof/>
              </w:rPr>
            </w:r>
            <w:r>
              <w:rPr>
                <w:noProof/>
              </w:rPr>
              <w:fldChar w:fldCharType="separate"/>
            </w:r>
            <w:r>
              <w:rPr>
                <w:noProof/>
              </w:rPr>
              <w:t>7</w:t>
            </w:r>
            <w:r>
              <w:rPr>
                <w:noProof/>
              </w:rPr>
              <w:fldChar w:fldCharType="end"/>
            </w:r>
          </w:hyperlink>
        </w:p>
        <w:p w14:paraId="1FEF73E3" w14:textId="77777777" w:rsidR="008911D1" w:rsidRDefault="008911D1">
          <w:pPr>
            <w:pStyle w:val="TOC1"/>
            <w:tabs>
              <w:tab w:val="right" w:leader="dot" w:pos="9350"/>
            </w:tabs>
            <w:rPr>
              <w:noProof/>
            </w:rPr>
          </w:pPr>
          <w:hyperlink w:anchor="_Toc239074739" w:history="1">
            <w:r w:rsidRPr="00F96602">
              <w:rPr>
                <w:rStyle w:val="Hyperlink"/>
                <w:noProof/>
              </w:rPr>
              <w:t>6. Future Roadmap</w:t>
            </w:r>
            <w:r>
              <w:rPr>
                <w:noProof/>
              </w:rPr>
              <w:tab/>
            </w:r>
            <w:r>
              <w:rPr>
                <w:noProof/>
              </w:rPr>
              <w:fldChar w:fldCharType="begin"/>
            </w:r>
            <w:r>
              <w:rPr>
                <w:noProof/>
              </w:rPr>
              <w:instrText xml:space="preserve"> PAGEREF _Toc239074739 \h </w:instrText>
            </w:r>
            <w:r>
              <w:rPr>
                <w:noProof/>
              </w:rPr>
            </w:r>
            <w:r>
              <w:rPr>
                <w:noProof/>
              </w:rPr>
              <w:fldChar w:fldCharType="separate"/>
            </w:r>
            <w:r>
              <w:rPr>
                <w:noProof/>
              </w:rPr>
              <w:t>8</w:t>
            </w:r>
            <w:r>
              <w:rPr>
                <w:noProof/>
              </w:rPr>
              <w:fldChar w:fldCharType="end"/>
            </w:r>
          </w:hyperlink>
        </w:p>
        <w:p w14:paraId="403D8DED" w14:textId="77777777" w:rsidR="008911D1" w:rsidRDefault="008911D1">
          <w:pPr>
            <w:pStyle w:val="TOC1"/>
            <w:tabs>
              <w:tab w:val="right" w:leader="dot" w:pos="9350"/>
            </w:tabs>
            <w:rPr>
              <w:noProof/>
            </w:rPr>
          </w:pPr>
          <w:hyperlink w:anchor="_Toc239074740" w:history="1">
            <w:r w:rsidRPr="00F96602">
              <w:rPr>
                <w:rStyle w:val="Hyperlink"/>
                <w:noProof/>
              </w:rPr>
              <w:t>7. Risk and Mitigation Analysis</w:t>
            </w:r>
            <w:r>
              <w:rPr>
                <w:noProof/>
              </w:rPr>
              <w:tab/>
            </w:r>
            <w:r>
              <w:rPr>
                <w:noProof/>
              </w:rPr>
              <w:fldChar w:fldCharType="begin"/>
            </w:r>
            <w:r>
              <w:rPr>
                <w:noProof/>
              </w:rPr>
              <w:instrText xml:space="preserve"> PAGEREF _Toc239074740 \h </w:instrText>
            </w:r>
            <w:r>
              <w:rPr>
                <w:noProof/>
              </w:rPr>
            </w:r>
            <w:r>
              <w:rPr>
                <w:noProof/>
              </w:rPr>
              <w:fldChar w:fldCharType="separate"/>
            </w:r>
            <w:r>
              <w:rPr>
                <w:noProof/>
              </w:rPr>
              <w:t>9</w:t>
            </w:r>
            <w:r>
              <w:rPr>
                <w:noProof/>
              </w:rPr>
              <w:fldChar w:fldCharType="end"/>
            </w:r>
          </w:hyperlink>
        </w:p>
        <w:p w14:paraId="147A9B5C" w14:textId="77777777" w:rsidR="008911D1" w:rsidRDefault="008911D1">
          <w:pPr>
            <w:pStyle w:val="TOC1"/>
            <w:tabs>
              <w:tab w:val="right" w:leader="dot" w:pos="9350"/>
            </w:tabs>
            <w:rPr>
              <w:noProof/>
            </w:rPr>
          </w:pPr>
          <w:hyperlink w:anchor="_Toc239074741" w:history="1">
            <w:r w:rsidRPr="00F96602">
              <w:rPr>
                <w:rStyle w:val="Hyperlink"/>
                <w:noProof/>
              </w:rPr>
              <w:t>8. Conclusion</w:t>
            </w:r>
            <w:r>
              <w:rPr>
                <w:noProof/>
              </w:rPr>
              <w:tab/>
            </w:r>
            <w:r>
              <w:rPr>
                <w:noProof/>
              </w:rPr>
              <w:fldChar w:fldCharType="begin"/>
            </w:r>
            <w:r>
              <w:rPr>
                <w:noProof/>
              </w:rPr>
              <w:instrText xml:space="preserve"> PAGEREF _Toc239074741 \h </w:instrText>
            </w:r>
            <w:r>
              <w:rPr>
                <w:noProof/>
              </w:rPr>
            </w:r>
            <w:r>
              <w:rPr>
                <w:noProof/>
              </w:rPr>
              <w:fldChar w:fldCharType="separate"/>
            </w:r>
            <w:r>
              <w:rPr>
                <w:noProof/>
              </w:rPr>
              <w:t>10</w:t>
            </w:r>
            <w:r>
              <w:rPr>
                <w:noProof/>
              </w:rPr>
              <w:fldChar w:fldCharType="end"/>
            </w:r>
          </w:hyperlink>
        </w:p>
        <w:p w14:paraId="3EA6DF3B" w14:textId="77777777" w:rsidR="005D7CE9" w:rsidRDefault="00000000">
          <w:r>
            <w:fldChar w:fldCharType="end"/>
          </w:r>
        </w:p>
      </w:sdtContent>
    </w:sdt>
    <w:p w14:paraId="22CEA6DD" w14:textId="77777777" w:rsidR="005D7CE9" w:rsidRDefault="00000000">
      <w:r>
        <w:br w:type="page"/>
      </w:r>
    </w:p>
    <w:p w14:paraId="6CE42A40" w14:textId="77777777" w:rsidR="005D7CE9" w:rsidRDefault="00000000">
      <w:pPr>
        <w:pStyle w:val="Heading1"/>
        <w:spacing w:before="360" w:after="200"/>
      </w:pPr>
      <w:bookmarkStart w:id="1" w:name="_Toc239074731"/>
      <w:r>
        <w:lastRenderedPageBreak/>
        <w:t>1. Introduction</w:t>
      </w:r>
      <w:bookmarkEnd w:id="1"/>
    </w:p>
    <w:p w14:paraId="0835BB69" w14:textId="77777777" w:rsidR="005D7CE9" w:rsidRDefault="00000000" w:rsidP="008911D1">
      <w:pPr>
        <w:spacing w:after="200"/>
        <w:jc w:val="both"/>
      </w:pPr>
      <w:r>
        <w:t xml:space="preserve">This is the final document in the </w:t>
      </w:r>
      <w:proofErr w:type="spellStart"/>
      <w:r>
        <w:t>PocketLedger</w:t>
      </w:r>
      <w:proofErr w:type="spellEnd"/>
      <w:r>
        <w:t xml:space="preserve"> planning series, closing out a six-week virtual internship that produced a Software Requirements Document (Week 1), a System Architecture and Module Breakdown (Week 2), a Development Roadmap (Week 3), a Testing Strategy and QA Plan (Week 4), and a Code Review and Debugging Strategy (Week 5). This document evaluates that full body of work against measurable criteria, reflects honestly on what worked and what did not, and proposes a concrete roadmap for the features and technical debt that were deliberately deferred earlier.</w:t>
      </w:r>
    </w:p>
    <w:p w14:paraId="10635CD3" w14:textId="77777777" w:rsidR="005D7CE9" w:rsidRDefault="00000000">
      <w:pPr>
        <w:pStyle w:val="Heading1"/>
        <w:pageBreakBefore/>
        <w:spacing w:before="360" w:after="200"/>
      </w:pPr>
      <w:bookmarkStart w:id="2" w:name="_Toc239074732"/>
      <w:r>
        <w:lastRenderedPageBreak/>
        <w:t>2. Project Retrospective</w:t>
      </w:r>
      <w:bookmarkEnd w:id="2"/>
    </w:p>
    <w:p w14:paraId="4EECCE89" w14:textId="77777777" w:rsidR="005D7CE9" w:rsidRDefault="00000000">
      <w:pPr>
        <w:pStyle w:val="Heading2"/>
        <w:spacing w:before="240" w:after="160"/>
      </w:pPr>
      <w:bookmarkStart w:id="3" w:name="_Toc239074733"/>
      <w:r>
        <w:t>2.1 Technical Retrospective</w:t>
      </w:r>
      <w:bookmarkEnd w:id="3"/>
    </w:p>
    <w:p w14:paraId="6DBC4D56" w14:textId="77777777" w:rsidR="005D7CE9" w:rsidRDefault="00000000" w:rsidP="008911D1">
      <w:pPr>
        <w:spacing w:after="200"/>
        <w:jc w:val="both"/>
      </w:pPr>
      <w:r>
        <w:t>What worked well: the layered architecture defined in Week 2 (presentation, business logic, data access, integration) held up consistently through every later document. The worked example introduced in Week 2, Section 4 (an ₹1,200 grocery expense pushing spend to 84% of budget) was reused verbatim in Week 3's integration testing plan and Week 4's test case BUD-05, rather than being replaced with a new example each week. This consistency is itself evidence the architecture was sound — a design that required a different illustrative example every week would suggest the modules did not actually compose cleanly.</w:t>
      </w:r>
    </w:p>
    <w:p w14:paraId="6BEFC7D6" w14:textId="77777777" w:rsidR="005D7CE9" w:rsidRDefault="00000000" w:rsidP="008911D1">
      <w:pPr>
        <w:spacing w:after="200"/>
        <w:jc w:val="both"/>
      </w:pPr>
      <w:r>
        <w:t>What did not work as well: the Week 2 evaluation feedback specifically noted the scalability section needed more concrete mitigation strategies and a missing security analysis. Reviewing that document now, the scalability discussion (Section 6.2) named one bottleneck (recalculating totals on every dashboard load) but did not address authentication-specific scaling questions, such as what happens to session validity if the API is horizontally scaled behind a load balancer with JWTs that were issued by a different, earlier-deployed instance. This is a real gap, addressed in Section 5 below.</w:t>
      </w:r>
    </w:p>
    <w:p w14:paraId="68D256A6" w14:textId="77777777" w:rsidR="005D7CE9" w:rsidRDefault="00000000">
      <w:pPr>
        <w:pStyle w:val="Heading2"/>
        <w:spacing w:before="240" w:after="160"/>
      </w:pPr>
      <w:bookmarkStart w:id="4" w:name="_Toc239074734"/>
      <w:r>
        <w:t>2.2 Process-Oriented Retrospective</w:t>
      </w:r>
      <w:bookmarkEnd w:id="4"/>
    </w:p>
    <w:p w14:paraId="68530C86" w14:textId="77777777" w:rsidR="005D7CE9" w:rsidRDefault="00000000" w:rsidP="008911D1">
      <w:pPr>
        <w:spacing w:after="200"/>
        <w:jc w:val="both"/>
      </w:pPr>
      <w:r>
        <w:t xml:space="preserve">The Week 3 feedback noted a lack of exact time estimates for sprint planning sessions. In hindsight, the Week 3 roadmap stated sprint planning takes "30 minutes" (Section 4.1) but did not break down what happens inside </w:t>
      </w:r>
      <w:proofErr w:type="gramStart"/>
      <w:r>
        <w:t>that 30 minutes</w:t>
      </w:r>
      <w:proofErr w:type="gramEnd"/>
      <w:r>
        <w:t>, which is likely what the feedback was pointing at — a duration without an agenda is not fully specified. A corrected breakdown: 10 minutes reviewing the previous sprint's Definition of Done against actual results, 10 minutes reviewing the upcoming sprint's test cases from Week 4 before writing code, and 10 minutes buffer for anything unresolved from the prior sprint's retrospective.</w:t>
      </w:r>
    </w:p>
    <w:p w14:paraId="551451F0" w14:textId="77777777" w:rsidR="005D7CE9" w:rsidRDefault="00000000" w:rsidP="008911D1">
      <w:pPr>
        <w:spacing w:after="200"/>
        <w:jc w:val="both"/>
      </w:pPr>
      <w:r>
        <w:t xml:space="preserve">The Week 4 feedback asked for more analysis of how metrics translate into quality improvements, not just what the metrics are. For example, the </w:t>
      </w:r>
      <w:proofErr w:type="gramStart"/>
      <w:r>
        <w:t>80% unit</w:t>
      </w:r>
      <w:proofErr w:type="gramEnd"/>
      <w:r>
        <w:t xml:space="preserve"> test coverage target (Week 4, Section 4) was stated as a target but the causal link was left implicit: coverage below 80% was correlated, in Case Study B (Week 5), with exactly the kind of boundary-value defect (the 0.7999 vs. 0.8 threshold bug) that a targeted boundary-value test would have caught before it reached QA. The metric's value is not the number itself but that it forces boundary cases to be written as tests rather than only happy-path cases.</w:t>
      </w:r>
    </w:p>
    <w:p w14:paraId="07983530" w14:textId="77777777" w:rsidR="005D7CE9" w:rsidRDefault="00000000">
      <w:pPr>
        <w:pStyle w:val="Heading2"/>
        <w:spacing w:before="240" w:after="160"/>
      </w:pPr>
      <w:bookmarkStart w:id="5" w:name="_Toc239074735"/>
      <w:r>
        <w:t>2.3 Collaboration Retrospective</w:t>
      </w:r>
      <w:bookmarkEnd w:id="5"/>
    </w:p>
    <w:p w14:paraId="753D3379" w14:textId="77777777" w:rsidR="005D7CE9" w:rsidRDefault="00000000" w:rsidP="008911D1">
      <w:pPr>
        <w:spacing w:after="200"/>
        <w:jc w:val="both"/>
      </w:pPr>
      <w:r>
        <w:t>Since this project was built by a single developer throughout, collaboration was necessarily simulated rather than real. The most honest assessment is that the asynchronous, written-first practices defined in Week 5 (Section 5) — written reproduction steps, a shared defect sheet, an explicit Definition of Done — were adopted specifically because they are the practices that degrade least when a second developer is added later. A practice like informal verbal handoffs would have looked fine in a solo retrospective but would have failed immediately in a real team, so the retrospective criterion here is not "did this work for one person" but "would this survive a second person joining."</w:t>
      </w:r>
    </w:p>
    <w:p w14:paraId="47EC9C46" w14:textId="77777777" w:rsidR="005D7CE9" w:rsidRDefault="00000000">
      <w:pPr>
        <w:pStyle w:val="Heading1"/>
        <w:pageBreakBefore/>
        <w:spacing w:before="360" w:after="200"/>
      </w:pPr>
      <w:bookmarkStart w:id="6" w:name="_Toc239074736"/>
      <w:r>
        <w:lastRenderedPageBreak/>
        <w:t>3. Evaluation Metrics (KPIs)</w:t>
      </w:r>
      <w:bookmarkEnd w:id="6"/>
    </w:p>
    <w:p w14:paraId="5B33F1E2" w14:textId="77777777" w:rsidR="005D7CE9" w:rsidRDefault="00000000" w:rsidP="008911D1">
      <w:pPr>
        <w:spacing w:after="200"/>
        <w:jc w:val="both"/>
      </w:pPr>
      <w:r>
        <w:t xml:space="preserve">The following KPIs were defined progressively across the six weeks and are consolidated here with their final, hypothetical status, since </w:t>
      </w:r>
      <w:proofErr w:type="spellStart"/>
      <w:r>
        <w:t>PocketLedger</w:t>
      </w:r>
      <w:proofErr w:type="spellEnd"/>
      <w:r>
        <w:t xml:space="preserve"> was never actually implemented in code during this internship.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800"/>
        <w:gridCol w:w="1198"/>
        <w:gridCol w:w="4252"/>
      </w:tblGrid>
      <w:tr w:rsidR="005D7CE9" w14:paraId="0E696F7C" w14:textId="77777777" w:rsidTr="008911D1">
        <w:tblPrEx>
          <w:tblCellMar>
            <w:top w:w="0" w:type="dxa"/>
            <w:bottom w:w="0" w:type="dxa"/>
          </w:tblCellMar>
        </w:tblPrEx>
        <w:tc>
          <w:tcPr>
            <w:tcW w:w="2100" w:type="dxa"/>
            <w:shd w:val="clear" w:color="auto" w:fill="2F5496"/>
            <w:tcMar>
              <w:top w:w="100" w:type="dxa"/>
              <w:left w:w="120" w:type="dxa"/>
              <w:bottom w:w="100" w:type="dxa"/>
              <w:right w:w="120" w:type="dxa"/>
            </w:tcMar>
          </w:tcPr>
          <w:p w14:paraId="72D35DBD" w14:textId="77777777" w:rsidR="005D7CE9" w:rsidRDefault="00000000">
            <w:r>
              <w:rPr>
                <w:b/>
                <w:bCs/>
                <w:color w:val="FFFFFF"/>
              </w:rPr>
              <w:t>KPI</w:t>
            </w:r>
          </w:p>
        </w:tc>
        <w:tc>
          <w:tcPr>
            <w:tcW w:w="1800" w:type="dxa"/>
            <w:shd w:val="clear" w:color="auto" w:fill="2F5496"/>
            <w:tcMar>
              <w:top w:w="100" w:type="dxa"/>
              <w:left w:w="120" w:type="dxa"/>
              <w:bottom w:w="100" w:type="dxa"/>
              <w:right w:w="120" w:type="dxa"/>
            </w:tcMar>
          </w:tcPr>
          <w:p w14:paraId="31C0186B" w14:textId="77777777" w:rsidR="005D7CE9" w:rsidRDefault="00000000">
            <w:r>
              <w:rPr>
                <w:b/>
                <w:bCs/>
                <w:color w:val="FFFFFF"/>
              </w:rPr>
              <w:t>Defined In</w:t>
            </w:r>
          </w:p>
        </w:tc>
        <w:tc>
          <w:tcPr>
            <w:tcW w:w="1198" w:type="dxa"/>
            <w:shd w:val="clear" w:color="auto" w:fill="2F5496"/>
            <w:tcMar>
              <w:top w:w="100" w:type="dxa"/>
              <w:left w:w="120" w:type="dxa"/>
              <w:bottom w:w="100" w:type="dxa"/>
              <w:right w:w="120" w:type="dxa"/>
            </w:tcMar>
          </w:tcPr>
          <w:p w14:paraId="317584FB" w14:textId="77777777" w:rsidR="005D7CE9" w:rsidRDefault="00000000">
            <w:r>
              <w:rPr>
                <w:b/>
                <w:bCs/>
                <w:color w:val="FFFFFF"/>
              </w:rPr>
              <w:t>Target</w:t>
            </w:r>
          </w:p>
        </w:tc>
        <w:tc>
          <w:tcPr>
            <w:tcW w:w="4252" w:type="dxa"/>
            <w:shd w:val="clear" w:color="auto" w:fill="2F5496"/>
            <w:tcMar>
              <w:top w:w="100" w:type="dxa"/>
              <w:left w:w="120" w:type="dxa"/>
              <w:bottom w:w="100" w:type="dxa"/>
              <w:right w:w="120" w:type="dxa"/>
            </w:tcMar>
          </w:tcPr>
          <w:p w14:paraId="047B6F4C" w14:textId="77777777" w:rsidR="005D7CE9" w:rsidRDefault="00000000">
            <w:r>
              <w:rPr>
                <w:b/>
                <w:bCs/>
                <w:color w:val="FFFFFF"/>
              </w:rPr>
              <w:t>Hypothetical Status at Project End</w:t>
            </w:r>
          </w:p>
        </w:tc>
      </w:tr>
      <w:tr w:rsidR="005D7CE9" w14:paraId="1AD88E87" w14:textId="77777777" w:rsidTr="008911D1">
        <w:tblPrEx>
          <w:tblCellMar>
            <w:top w:w="0" w:type="dxa"/>
            <w:bottom w:w="0" w:type="dxa"/>
          </w:tblCellMar>
        </w:tblPrEx>
        <w:tc>
          <w:tcPr>
            <w:tcW w:w="2100" w:type="dxa"/>
            <w:tcMar>
              <w:top w:w="100" w:type="dxa"/>
              <w:left w:w="120" w:type="dxa"/>
              <w:bottom w:w="100" w:type="dxa"/>
              <w:right w:w="120" w:type="dxa"/>
            </w:tcMar>
          </w:tcPr>
          <w:p w14:paraId="7DE69659" w14:textId="77777777" w:rsidR="005D7CE9" w:rsidRDefault="00000000">
            <w:r>
              <w:rPr>
                <w:color w:val="000000"/>
              </w:rPr>
              <w:t>Unit test coverage</w:t>
            </w:r>
          </w:p>
        </w:tc>
        <w:tc>
          <w:tcPr>
            <w:tcW w:w="1800" w:type="dxa"/>
            <w:tcMar>
              <w:top w:w="100" w:type="dxa"/>
              <w:left w:w="120" w:type="dxa"/>
              <w:bottom w:w="100" w:type="dxa"/>
              <w:right w:w="120" w:type="dxa"/>
            </w:tcMar>
          </w:tcPr>
          <w:p w14:paraId="1222DE47" w14:textId="77777777" w:rsidR="005D7CE9" w:rsidRDefault="00000000">
            <w:r>
              <w:rPr>
                <w:color w:val="000000"/>
              </w:rPr>
              <w:t>Week 4, Section 4</w:t>
            </w:r>
          </w:p>
        </w:tc>
        <w:tc>
          <w:tcPr>
            <w:tcW w:w="1198" w:type="dxa"/>
            <w:tcMar>
              <w:top w:w="100" w:type="dxa"/>
              <w:left w:w="120" w:type="dxa"/>
              <w:bottom w:w="100" w:type="dxa"/>
              <w:right w:w="120" w:type="dxa"/>
            </w:tcMar>
          </w:tcPr>
          <w:p w14:paraId="5EB60CB4" w14:textId="77777777" w:rsidR="005D7CE9" w:rsidRDefault="00000000">
            <w:r>
              <w:rPr>
                <w:color w:val="000000"/>
              </w:rPr>
              <w:t>≥ 80% on business logic modules</w:t>
            </w:r>
          </w:p>
        </w:tc>
        <w:tc>
          <w:tcPr>
            <w:tcW w:w="4252" w:type="dxa"/>
            <w:tcMar>
              <w:top w:w="100" w:type="dxa"/>
              <w:left w:w="120" w:type="dxa"/>
              <w:bottom w:w="100" w:type="dxa"/>
              <w:right w:w="120" w:type="dxa"/>
            </w:tcMar>
          </w:tcPr>
          <w:p w14:paraId="0912371A" w14:textId="77777777" w:rsidR="005D7CE9" w:rsidRDefault="00000000" w:rsidP="008911D1">
            <w:pPr>
              <w:jc w:val="both"/>
            </w:pPr>
            <w:r>
              <w:rPr>
                <w:color w:val="000000"/>
              </w:rPr>
              <w:t>Met — Case Study B (Week 5) demonstrates the coverage target directly catching a boundary-value defect class</w:t>
            </w:r>
          </w:p>
        </w:tc>
      </w:tr>
      <w:tr w:rsidR="005D7CE9" w14:paraId="5FDB3170" w14:textId="77777777" w:rsidTr="008911D1">
        <w:tblPrEx>
          <w:tblCellMar>
            <w:top w:w="0" w:type="dxa"/>
            <w:bottom w:w="0" w:type="dxa"/>
          </w:tblCellMar>
        </w:tblPrEx>
        <w:tc>
          <w:tcPr>
            <w:tcW w:w="2100" w:type="dxa"/>
            <w:tcMar>
              <w:top w:w="100" w:type="dxa"/>
              <w:left w:w="120" w:type="dxa"/>
              <w:bottom w:w="100" w:type="dxa"/>
              <w:right w:w="120" w:type="dxa"/>
            </w:tcMar>
          </w:tcPr>
          <w:p w14:paraId="00E09FB9" w14:textId="77777777" w:rsidR="005D7CE9" w:rsidRDefault="00000000">
            <w:r>
              <w:rPr>
                <w:color w:val="000000"/>
              </w:rPr>
              <w:t>Defect density</w:t>
            </w:r>
          </w:p>
        </w:tc>
        <w:tc>
          <w:tcPr>
            <w:tcW w:w="1800" w:type="dxa"/>
            <w:tcMar>
              <w:top w:w="100" w:type="dxa"/>
              <w:left w:w="120" w:type="dxa"/>
              <w:bottom w:w="100" w:type="dxa"/>
              <w:right w:w="120" w:type="dxa"/>
            </w:tcMar>
          </w:tcPr>
          <w:p w14:paraId="445C250B" w14:textId="77777777" w:rsidR="005D7CE9" w:rsidRDefault="00000000">
            <w:r>
              <w:rPr>
                <w:color w:val="000000"/>
              </w:rPr>
              <w:t>Week 4, Section 4</w:t>
            </w:r>
          </w:p>
        </w:tc>
        <w:tc>
          <w:tcPr>
            <w:tcW w:w="1198" w:type="dxa"/>
            <w:tcMar>
              <w:top w:w="100" w:type="dxa"/>
              <w:left w:w="120" w:type="dxa"/>
              <w:bottom w:w="100" w:type="dxa"/>
              <w:right w:w="120" w:type="dxa"/>
            </w:tcMar>
          </w:tcPr>
          <w:p w14:paraId="1E05F09D" w14:textId="77777777" w:rsidR="005D7CE9" w:rsidRDefault="00000000">
            <w:r>
              <w:rPr>
                <w:color w:val="000000"/>
              </w:rPr>
              <w:t>≤ 1 open defect per 100 lines per sprint</w:t>
            </w:r>
          </w:p>
        </w:tc>
        <w:tc>
          <w:tcPr>
            <w:tcW w:w="4252" w:type="dxa"/>
            <w:tcMar>
              <w:top w:w="100" w:type="dxa"/>
              <w:left w:w="120" w:type="dxa"/>
              <w:bottom w:w="100" w:type="dxa"/>
              <w:right w:w="120" w:type="dxa"/>
            </w:tcMar>
          </w:tcPr>
          <w:p w14:paraId="64EC7F44" w14:textId="77777777" w:rsidR="005D7CE9" w:rsidRDefault="00000000" w:rsidP="008911D1">
            <w:pPr>
              <w:jc w:val="both"/>
            </w:pPr>
            <w:r>
              <w:rPr>
                <w:color w:val="000000"/>
              </w:rPr>
              <w:t>Met in Sprints 1–3; Sprint 4 (Integration Module) hypothetically exceeded this due to CSV edge cases (Week 4, Section 3.4), consistent with the "Key Challenges" noted in Week 3's resource estimation</w:t>
            </w:r>
          </w:p>
        </w:tc>
      </w:tr>
      <w:tr w:rsidR="005D7CE9" w14:paraId="733D3F36" w14:textId="77777777" w:rsidTr="008911D1">
        <w:tblPrEx>
          <w:tblCellMar>
            <w:top w:w="0" w:type="dxa"/>
            <w:bottom w:w="0" w:type="dxa"/>
          </w:tblCellMar>
        </w:tblPrEx>
        <w:tc>
          <w:tcPr>
            <w:tcW w:w="2100" w:type="dxa"/>
            <w:tcMar>
              <w:top w:w="100" w:type="dxa"/>
              <w:left w:w="120" w:type="dxa"/>
              <w:bottom w:w="100" w:type="dxa"/>
              <w:right w:w="120" w:type="dxa"/>
            </w:tcMar>
          </w:tcPr>
          <w:p w14:paraId="77047871" w14:textId="77777777" w:rsidR="005D7CE9" w:rsidRDefault="00000000">
            <w:r>
              <w:rPr>
                <w:color w:val="000000"/>
              </w:rPr>
              <w:t>API response time</w:t>
            </w:r>
          </w:p>
        </w:tc>
        <w:tc>
          <w:tcPr>
            <w:tcW w:w="1800" w:type="dxa"/>
            <w:tcMar>
              <w:top w:w="100" w:type="dxa"/>
              <w:left w:w="120" w:type="dxa"/>
              <w:bottom w:w="100" w:type="dxa"/>
              <w:right w:w="120" w:type="dxa"/>
            </w:tcMar>
          </w:tcPr>
          <w:p w14:paraId="018D7054" w14:textId="77777777" w:rsidR="005D7CE9" w:rsidRDefault="00000000">
            <w:r>
              <w:rPr>
                <w:color w:val="000000"/>
              </w:rPr>
              <w:t>Week 4, Section 4</w:t>
            </w:r>
          </w:p>
        </w:tc>
        <w:tc>
          <w:tcPr>
            <w:tcW w:w="1198" w:type="dxa"/>
            <w:tcMar>
              <w:top w:w="100" w:type="dxa"/>
              <w:left w:w="120" w:type="dxa"/>
              <w:bottom w:w="100" w:type="dxa"/>
              <w:right w:w="120" w:type="dxa"/>
            </w:tcMar>
          </w:tcPr>
          <w:p w14:paraId="2A1B01EF" w14:textId="77777777" w:rsidR="005D7CE9" w:rsidRDefault="00000000">
            <w:r>
              <w:rPr>
                <w:color w:val="000000"/>
              </w:rPr>
              <w:t>95th percentile &lt; 300ms</w:t>
            </w:r>
          </w:p>
        </w:tc>
        <w:tc>
          <w:tcPr>
            <w:tcW w:w="4252" w:type="dxa"/>
            <w:tcMar>
              <w:top w:w="100" w:type="dxa"/>
              <w:left w:w="120" w:type="dxa"/>
              <w:bottom w:w="100" w:type="dxa"/>
              <w:right w:w="120" w:type="dxa"/>
            </w:tcMar>
          </w:tcPr>
          <w:p w14:paraId="6926093C" w14:textId="77777777" w:rsidR="005D7CE9" w:rsidRDefault="00000000" w:rsidP="008911D1">
            <w:pPr>
              <w:jc w:val="both"/>
            </w:pPr>
            <w:r>
              <w:rPr>
                <w:color w:val="000000"/>
              </w:rPr>
              <w:t>Not fully verifiable without a live deployment; Week 2's scalability analysis (Section 6.2) already flagged the specific query pattern most likely to miss this target</w:t>
            </w:r>
          </w:p>
        </w:tc>
      </w:tr>
      <w:tr w:rsidR="005D7CE9" w14:paraId="5603D565" w14:textId="77777777" w:rsidTr="008911D1">
        <w:tblPrEx>
          <w:tblCellMar>
            <w:top w:w="0" w:type="dxa"/>
            <w:bottom w:w="0" w:type="dxa"/>
          </w:tblCellMar>
        </w:tblPrEx>
        <w:tc>
          <w:tcPr>
            <w:tcW w:w="2100" w:type="dxa"/>
            <w:tcMar>
              <w:top w:w="100" w:type="dxa"/>
              <w:left w:w="120" w:type="dxa"/>
              <w:bottom w:w="100" w:type="dxa"/>
              <w:right w:w="120" w:type="dxa"/>
            </w:tcMar>
          </w:tcPr>
          <w:p w14:paraId="0FAEFF3E" w14:textId="77777777" w:rsidR="005D7CE9" w:rsidRDefault="00000000">
            <w:r>
              <w:rPr>
                <w:color w:val="000000"/>
              </w:rPr>
              <w:t>Adherence to timeline</w:t>
            </w:r>
          </w:p>
        </w:tc>
        <w:tc>
          <w:tcPr>
            <w:tcW w:w="1800" w:type="dxa"/>
            <w:tcMar>
              <w:top w:w="100" w:type="dxa"/>
              <w:left w:w="120" w:type="dxa"/>
              <w:bottom w:w="100" w:type="dxa"/>
              <w:right w:w="120" w:type="dxa"/>
            </w:tcMar>
          </w:tcPr>
          <w:p w14:paraId="4782B47B" w14:textId="77777777" w:rsidR="005D7CE9" w:rsidRDefault="00000000">
            <w:r>
              <w:rPr>
                <w:color w:val="000000"/>
              </w:rPr>
              <w:t>Week 3, Section 3 (milestones)</w:t>
            </w:r>
          </w:p>
        </w:tc>
        <w:tc>
          <w:tcPr>
            <w:tcW w:w="1198" w:type="dxa"/>
            <w:tcMar>
              <w:top w:w="100" w:type="dxa"/>
              <w:left w:w="120" w:type="dxa"/>
              <w:bottom w:w="100" w:type="dxa"/>
              <w:right w:w="120" w:type="dxa"/>
            </w:tcMar>
          </w:tcPr>
          <w:p w14:paraId="7C52AD0B" w14:textId="77777777" w:rsidR="005D7CE9" w:rsidRDefault="00000000">
            <w:r>
              <w:rPr>
                <w:color w:val="000000"/>
              </w:rPr>
              <w:t>8 milestones across 10 weeks</w:t>
            </w:r>
          </w:p>
        </w:tc>
        <w:tc>
          <w:tcPr>
            <w:tcW w:w="4252" w:type="dxa"/>
            <w:tcMar>
              <w:top w:w="100" w:type="dxa"/>
              <w:left w:w="120" w:type="dxa"/>
              <w:bottom w:w="100" w:type="dxa"/>
              <w:right w:w="120" w:type="dxa"/>
            </w:tcMar>
          </w:tcPr>
          <w:p w14:paraId="0AC58173" w14:textId="77777777" w:rsidR="005D7CE9" w:rsidRDefault="00000000" w:rsidP="008911D1">
            <w:pPr>
              <w:jc w:val="both"/>
            </w:pPr>
            <w:r>
              <w:rPr>
                <w:color w:val="000000"/>
              </w:rPr>
              <w:t>Milestones M1–M5 hypothetically on schedule; M6 (Integration Module) is the highest-risk milestone per Week 3's own risk table (Section 6), which already predicted Sprint 1 overruns as the most likely cause of downstream delay</w:t>
            </w:r>
          </w:p>
        </w:tc>
      </w:tr>
      <w:tr w:rsidR="005D7CE9" w14:paraId="0D1015CF" w14:textId="77777777" w:rsidTr="008911D1">
        <w:tblPrEx>
          <w:tblCellMar>
            <w:top w:w="0" w:type="dxa"/>
            <w:bottom w:w="0" w:type="dxa"/>
          </w:tblCellMar>
        </w:tblPrEx>
        <w:tc>
          <w:tcPr>
            <w:tcW w:w="2100" w:type="dxa"/>
            <w:tcMar>
              <w:top w:w="100" w:type="dxa"/>
              <w:left w:w="120" w:type="dxa"/>
              <w:bottom w:w="100" w:type="dxa"/>
              <w:right w:w="120" w:type="dxa"/>
            </w:tcMar>
          </w:tcPr>
          <w:p w14:paraId="6C1E5B81" w14:textId="77777777" w:rsidR="005D7CE9" w:rsidRDefault="00000000" w:rsidP="008911D1">
            <w:pPr>
              <w:jc w:val="both"/>
            </w:pPr>
            <w:r>
              <w:rPr>
                <w:color w:val="000000"/>
              </w:rPr>
              <w:t>User satisfaction (hypothetical)</w:t>
            </w:r>
          </w:p>
        </w:tc>
        <w:tc>
          <w:tcPr>
            <w:tcW w:w="1800" w:type="dxa"/>
            <w:tcMar>
              <w:top w:w="100" w:type="dxa"/>
              <w:left w:w="120" w:type="dxa"/>
              <w:bottom w:w="100" w:type="dxa"/>
              <w:right w:w="120" w:type="dxa"/>
            </w:tcMar>
          </w:tcPr>
          <w:p w14:paraId="63A95F91" w14:textId="77777777" w:rsidR="005D7CE9" w:rsidRDefault="00000000" w:rsidP="008911D1">
            <w:pPr>
              <w:jc w:val="both"/>
            </w:pPr>
            <w:r>
              <w:rPr>
                <w:color w:val="000000"/>
              </w:rPr>
              <w:t>Not previously defined — introduced here</w:t>
            </w:r>
          </w:p>
        </w:tc>
        <w:tc>
          <w:tcPr>
            <w:tcW w:w="1198" w:type="dxa"/>
            <w:tcMar>
              <w:top w:w="100" w:type="dxa"/>
              <w:left w:w="120" w:type="dxa"/>
              <w:bottom w:w="100" w:type="dxa"/>
              <w:right w:w="120" w:type="dxa"/>
            </w:tcMar>
          </w:tcPr>
          <w:p w14:paraId="73C439AE" w14:textId="77777777" w:rsidR="005D7CE9" w:rsidRDefault="00000000" w:rsidP="008911D1">
            <w:pPr>
              <w:jc w:val="both"/>
            </w:pPr>
            <w:r>
              <w:rPr>
                <w:color w:val="000000"/>
              </w:rPr>
              <w:t>A simple 1–5 in-app rating prompt shown once, after a user's fifth expense entry</w:t>
            </w:r>
          </w:p>
        </w:tc>
        <w:tc>
          <w:tcPr>
            <w:tcW w:w="4252" w:type="dxa"/>
            <w:tcMar>
              <w:top w:w="100" w:type="dxa"/>
              <w:left w:w="120" w:type="dxa"/>
              <w:bottom w:w="100" w:type="dxa"/>
              <w:right w:w="120" w:type="dxa"/>
            </w:tcMar>
          </w:tcPr>
          <w:p w14:paraId="49E5B9A7" w14:textId="77777777" w:rsidR="005D7CE9" w:rsidRDefault="00000000" w:rsidP="008911D1">
            <w:pPr>
              <w:jc w:val="both"/>
            </w:pPr>
            <w:r>
              <w:rPr>
                <w:color w:val="000000"/>
              </w:rPr>
              <w:t>Not measurable without real users; included as a KPI here specifically because Weeks 1–5 focused entirely on internal technical quality and never defined a way to measure whether the product actually helps the person using it</w:t>
            </w:r>
          </w:p>
        </w:tc>
      </w:tr>
    </w:tbl>
    <w:p w14:paraId="3D216D62" w14:textId="77777777" w:rsidR="005D7CE9" w:rsidRDefault="00000000">
      <w:pPr>
        <w:pStyle w:val="Heading1"/>
        <w:pageBreakBefore/>
        <w:spacing w:before="360" w:after="200"/>
      </w:pPr>
      <w:bookmarkStart w:id="7" w:name="_Toc239074737"/>
      <w:r>
        <w:lastRenderedPageBreak/>
        <w:t>4. Lessons Learned</w:t>
      </w:r>
      <w:bookmarkEnd w:id="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5D7CE9" w14:paraId="7EE0894E" w14:textId="77777777">
        <w:tblPrEx>
          <w:tblCellMar>
            <w:top w:w="0" w:type="dxa"/>
            <w:bottom w:w="0" w:type="dxa"/>
          </w:tblCellMar>
        </w:tblPrEx>
        <w:tc>
          <w:tcPr>
            <w:tcW w:w="2400" w:type="dxa"/>
            <w:shd w:val="clear" w:color="auto" w:fill="2F5496"/>
            <w:tcMar>
              <w:top w:w="100" w:type="dxa"/>
              <w:left w:w="120" w:type="dxa"/>
              <w:bottom w:w="100" w:type="dxa"/>
              <w:right w:w="120" w:type="dxa"/>
            </w:tcMar>
          </w:tcPr>
          <w:p w14:paraId="466E1182" w14:textId="77777777" w:rsidR="005D7CE9" w:rsidRDefault="00000000">
            <w:r>
              <w:rPr>
                <w:b/>
                <w:bCs/>
                <w:color w:val="FFFFFF"/>
              </w:rPr>
              <w:t>Phase</w:t>
            </w:r>
          </w:p>
        </w:tc>
        <w:tc>
          <w:tcPr>
            <w:tcW w:w="6950" w:type="dxa"/>
            <w:shd w:val="clear" w:color="auto" w:fill="2F5496"/>
            <w:tcMar>
              <w:top w:w="100" w:type="dxa"/>
              <w:left w:w="120" w:type="dxa"/>
              <w:bottom w:w="100" w:type="dxa"/>
              <w:right w:w="120" w:type="dxa"/>
            </w:tcMar>
          </w:tcPr>
          <w:p w14:paraId="07A277F4" w14:textId="77777777" w:rsidR="005D7CE9" w:rsidRDefault="00000000">
            <w:r>
              <w:rPr>
                <w:b/>
                <w:bCs/>
                <w:color w:val="FFFFFF"/>
              </w:rPr>
              <w:t>Concrete Lesson</w:t>
            </w:r>
          </w:p>
        </w:tc>
      </w:tr>
      <w:tr w:rsidR="005D7CE9" w14:paraId="22298281" w14:textId="77777777">
        <w:tblPrEx>
          <w:tblCellMar>
            <w:top w:w="0" w:type="dxa"/>
            <w:bottom w:w="0" w:type="dxa"/>
          </w:tblCellMar>
        </w:tblPrEx>
        <w:tc>
          <w:tcPr>
            <w:tcW w:w="2400" w:type="dxa"/>
            <w:tcMar>
              <w:top w:w="100" w:type="dxa"/>
              <w:left w:w="120" w:type="dxa"/>
              <w:bottom w:w="100" w:type="dxa"/>
              <w:right w:w="120" w:type="dxa"/>
            </w:tcMar>
          </w:tcPr>
          <w:p w14:paraId="070061FC" w14:textId="77777777" w:rsidR="005D7CE9" w:rsidRDefault="00000000">
            <w:r>
              <w:rPr>
                <w:color w:val="000000"/>
              </w:rPr>
              <w:t>Planning &amp; Requirements (Week 1)</w:t>
            </w:r>
          </w:p>
        </w:tc>
        <w:tc>
          <w:tcPr>
            <w:tcW w:w="6950" w:type="dxa"/>
            <w:tcMar>
              <w:top w:w="100" w:type="dxa"/>
              <w:left w:w="120" w:type="dxa"/>
              <w:bottom w:w="100" w:type="dxa"/>
              <w:right w:w="120" w:type="dxa"/>
            </w:tcMar>
          </w:tcPr>
          <w:p w14:paraId="34BBC2B6" w14:textId="77777777" w:rsidR="005D7CE9" w:rsidRDefault="00000000" w:rsidP="008911D1">
            <w:pPr>
              <w:jc w:val="both"/>
            </w:pPr>
            <w:r>
              <w:rPr>
                <w:color w:val="000000"/>
              </w:rPr>
              <w:t>Writing explicit out-of-scope items (Week 1, Section 5.2) turned out to be more useful than the in-scope list, since every later week's risk section (Weeks 2–5) referenced the out-of-scope list at least once to justify not solving a problem — e.g., Week 3's risk mitigation for scope creep (Section 6) explicitly re-checks new ideas against Section 5.2 rather than re-litigating scope from memory.</w:t>
            </w:r>
          </w:p>
        </w:tc>
      </w:tr>
      <w:tr w:rsidR="005D7CE9" w14:paraId="59E595EB" w14:textId="77777777">
        <w:tblPrEx>
          <w:tblCellMar>
            <w:top w:w="0" w:type="dxa"/>
            <w:bottom w:w="0" w:type="dxa"/>
          </w:tblCellMar>
        </w:tblPrEx>
        <w:tc>
          <w:tcPr>
            <w:tcW w:w="2400" w:type="dxa"/>
            <w:tcMar>
              <w:top w:w="100" w:type="dxa"/>
              <w:left w:w="120" w:type="dxa"/>
              <w:bottom w:w="100" w:type="dxa"/>
              <w:right w:w="120" w:type="dxa"/>
            </w:tcMar>
          </w:tcPr>
          <w:p w14:paraId="2D806628" w14:textId="77777777" w:rsidR="005D7CE9" w:rsidRDefault="00000000">
            <w:r>
              <w:rPr>
                <w:color w:val="000000"/>
              </w:rPr>
              <w:t>Architecture (Week 2)</w:t>
            </w:r>
          </w:p>
        </w:tc>
        <w:tc>
          <w:tcPr>
            <w:tcW w:w="6950" w:type="dxa"/>
            <w:tcMar>
              <w:top w:w="100" w:type="dxa"/>
              <w:left w:w="120" w:type="dxa"/>
              <w:bottom w:w="100" w:type="dxa"/>
              <w:right w:w="120" w:type="dxa"/>
            </w:tcMar>
          </w:tcPr>
          <w:p w14:paraId="31DBD776" w14:textId="77777777" w:rsidR="005D7CE9" w:rsidRDefault="00000000" w:rsidP="008911D1">
            <w:pPr>
              <w:jc w:val="both"/>
            </w:pPr>
            <w:r>
              <w:rPr>
                <w:color w:val="000000"/>
              </w:rPr>
              <w:t>A worked numerical example (Section 4) was more valuable than the architecture diagrams for catching integration mismatches — the diagrams show that modules connect, but only the worked example forced a decision about which module owns the 80% threshold check, surfacing a design question the diagrams alone did not.</w:t>
            </w:r>
          </w:p>
        </w:tc>
      </w:tr>
      <w:tr w:rsidR="005D7CE9" w14:paraId="0AE430D4" w14:textId="77777777">
        <w:tblPrEx>
          <w:tblCellMar>
            <w:top w:w="0" w:type="dxa"/>
            <w:bottom w:w="0" w:type="dxa"/>
          </w:tblCellMar>
        </w:tblPrEx>
        <w:tc>
          <w:tcPr>
            <w:tcW w:w="2400" w:type="dxa"/>
            <w:tcMar>
              <w:top w:w="100" w:type="dxa"/>
              <w:left w:w="120" w:type="dxa"/>
              <w:bottom w:w="100" w:type="dxa"/>
              <w:right w:w="120" w:type="dxa"/>
            </w:tcMar>
          </w:tcPr>
          <w:p w14:paraId="57B54038" w14:textId="77777777" w:rsidR="005D7CE9" w:rsidRDefault="00000000">
            <w:r>
              <w:rPr>
                <w:color w:val="000000"/>
              </w:rPr>
              <w:t>Roadmap (Week 3)</w:t>
            </w:r>
          </w:p>
        </w:tc>
        <w:tc>
          <w:tcPr>
            <w:tcW w:w="6950" w:type="dxa"/>
            <w:tcMar>
              <w:top w:w="100" w:type="dxa"/>
              <w:left w:w="120" w:type="dxa"/>
              <w:bottom w:w="100" w:type="dxa"/>
              <w:right w:w="120" w:type="dxa"/>
            </w:tcMar>
          </w:tcPr>
          <w:p w14:paraId="5F6D9B1A" w14:textId="77777777" w:rsidR="005D7CE9" w:rsidRDefault="00000000" w:rsidP="008911D1">
            <w:pPr>
              <w:jc w:val="both"/>
            </w:pPr>
            <w:r>
              <w:rPr>
                <w:color w:val="000000"/>
              </w:rPr>
              <w:t>Estimating an explicit contingency buffer (20 of 155 hours, Section 5) as its own visible line item, rather than padding every other estimate slightly, made the schedule's actual risk tolerance legible — a reviewer can see exactly how much slack exists, rather than having to guess how conservative each individual estimate already is.</w:t>
            </w:r>
          </w:p>
        </w:tc>
      </w:tr>
      <w:tr w:rsidR="005D7CE9" w14:paraId="5A61F8A6" w14:textId="77777777">
        <w:tblPrEx>
          <w:tblCellMar>
            <w:top w:w="0" w:type="dxa"/>
            <w:bottom w:w="0" w:type="dxa"/>
          </w:tblCellMar>
        </w:tblPrEx>
        <w:tc>
          <w:tcPr>
            <w:tcW w:w="2400" w:type="dxa"/>
            <w:tcMar>
              <w:top w:w="100" w:type="dxa"/>
              <w:left w:w="120" w:type="dxa"/>
              <w:bottom w:w="100" w:type="dxa"/>
              <w:right w:w="120" w:type="dxa"/>
            </w:tcMar>
          </w:tcPr>
          <w:p w14:paraId="6F31FC92" w14:textId="77777777" w:rsidR="005D7CE9" w:rsidRDefault="00000000">
            <w:r>
              <w:rPr>
                <w:color w:val="000000"/>
              </w:rPr>
              <w:t>Testing &amp; QA (Week 4)</w:t>
            </w:r>
          </w:p>
        </w:tc>
        <w:tc>
          <w:tcPr>
            <w:tcW w:w="6950" w:type="dxa"/>
            <w:tcMar>
              <w:top w:w="100" w:type="dxa"/>
              <w:left w:w="120" w:type="dxa"/>
              <w:bottom w:w="100" w:type="dxa"/>
              <w:right w:w="120" w:type="dxa"/>
            </w:tcMar>
          </w:tcPr>
          <w:p w14:paraId="6BB358C9" w14:textId="77777777" w:rsidR="005D7CE9" w:rsidRDefault="00000000" w:rsidP="008911D1">
            <w:pPr>
              <w:jc w:val="both"/>
            </w:pPr>
            <w:r>
              <w:rPr>
                <w:color w:val="000000"/>
              </w:rPr>
              <w:t>Writing test cases with an explicit boundary value (79.99% vs. exactly 80%, test case BUD-05) rather than a mid-range value was the single highest-value testing decision in the whole project, since Week 5's Case Study B shows this exact boundary case catching a real defect class that a mid-range test would have missed entirely.</w:t>
            </w:r>
          </w:p>
        </w:tc>
      </w:tr>
      <w:tr w:rsidR="005D7CE9" w14:paraId="38DDCF07" w14:textId="77777777">
        <w:tblPrEx>
          <w:tblCellMar>
            <w:top w:w="0" w:type="dxa"/>
            <w:bottom w:w="0" w:type="dxa"/>
          </w:tblCellMar>
        </w:tblPrEx>
        <w:tc>
          <w:tcPr>
            <w:tcW w:w="2400" w:type="dxa"/>
            <w:tcMar>
              <w:top w:w="100" w:type="dxa"/>
              <w:left w:w="120" w:type="dxa"/>
              <w:bottom w:w="100" w:type="dxa"/>
              <w:right w:w="120" w:type="dxa"/>
            </w:tcMar>
          </w:tcPr>
          <w:p w14:paraId="7B8CEC37" w14:textId="77777777" w:rsidR="005D7CE9" w:rsidRDefault="00000000">
            <w:r>
              <w:rPr>
                <w:color w:val="000000"/>
              </w:rPr>
              <w:t>Code Review &amp; Debugging (Week 5)</w:t>
            </w:r>
          </w:p>
        </w:tc>
        <w:tc>
          <w:tcPr>
            <w:tcW w:w="6950" w:type="dxa"/>
            <w:tcMar>
              <w:top w:w="100" w:type="dxa"/>
              <w:left w:w="120" w:type="dxa"/>
              <w:bottom w:w="100" w:type="dxa"/>
              <w:right w:w="120" w:type="dxa"/>
            </w:tcMar>
          </w:tcPr>
          <w:p w14:paraId="684EFA1B" w14:textId="77777777" w:rsidR="005D7CE9" w:rsidRDefault="00000000" w:rsidP="008911D1">
            <w:pPr>
              <w:jc w:val="both"/>
            </w:pPr>
            <w:r>
              <w:rPr>
                <w:color w:val="000000"/>
              </w:rPr>
              <w:t>Separating "fix the symptom" from "fix the root cause" (Section 3.3) as two distinct, sequential steps — rather than one step called "fix the bug" — is what surfaced the difference between Case Study B's quick patch (changing 0.7999 to 0.8) and its actual resolution (replacing all decimal threshold comparisons project-wide). Without that explicit separation, the quick patch would likely have been mistaken for a complete fix.</w:t>
            </w:r>
          </w:p>
        </w:tc>
      </w:tr>
    </w:tbl>
    <w:p w14:paraId="305C04A1" w14:textId="77777777" w:rsidR="005D7CE9" w:rsidRDefault="00000000">
      <w:pPr>
        <w:pStyle w:val="Heading1"/>
        <w:pageBreakBefore/>
        <w:spacing w:before="360" w:after="200"/>
      </w:pPr>
      <w:bookmarkStart w:id="8" w:name="_Toc239074738"/>
      <w:r>
        <w:lastRenderedPageBreak/>
        <w:t>5. Security Analysis</w:t>
      </w:r>
      <w:bookmarkEnd w:id="8"/>
    </w:p>
    <w:p w14:paraId="552A5A18" w14:textId="77777777" w:rsidR="005D7CE9" w:rsidRDefault="00000000" w:rsidP="008911D1">
      <w:pPr>
        <w:spacing w:after="200"/>
        <w:jc w:val="both"/>
      </w:pPr>
      <w:r>
        <w:t>This section directly addresses the Week 2 evaluation feedback, which noted the absence of a dedicated security analysis. Four specific risks are identified, each tied to a concrete component from earlier documents rather than generic security advice.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400"/>
        <w:gridCol w:w="3850"/>
      </w:tblGrid>
      <w:tr w:rsidR="005D7CE9" w14:paraId="113907A6" w14:textId="77777777">
        <w:tblPrEx>
          <w:tblCellMar>
            <w:top w:w="0" w:type="dxa"/>
            <w:bottom w:w="0" w:type="dxa"/>
          </w:tblCellMar>
        </w:tblPrEx>
        <w:tc>
          <w:tcPr>
            <w:tcW w:w="2100" w:type="dxa"/>
            <w:shd w:val="clear" w:color="auto" w:fill="2F5496"/>
            <w:tcMar>
              <w:top w:w="100" w:type="dxa"/>
              <w:left w:w="120" w:type="dxa"/>
              <w:bottom w:w="100" w:type="dxa"/>
              <w:right w:w="120" w:type="dxa"/>
            </w:tcMar>
          </w:tcPr>
          <w:p w14:paraId="54CF411B" w14:textId="77777777" w:rsidR="005D7CE9" w:rsidRDefault="00000000">
            <w:r>
              <w:rPr>
                <w:b/>
                <w:bCs/>
                <w:color w:val="FFFFFF"/>
              </w:rPr>
              <w:t>Risk</w:t>
            </w:r>
          </w:p>
        </w:tc>
        <w:tc>
          <w:tcPr>
            <w:tcW w:w="3400" w:type="dxa"/>
            <w:shd w:val="clear" w:color="auto" w:fill="2F5496"/>
            <w:tcMar>
              <w:top w:w="100" w:type="dxa"/>
              <w:left w:w="120" w:type="dxa"/>
              <w:bottom w:w="100" w:type="dxa"/>
              <w:right w:w="120" w:type="dxa"/>
            </w:tcMar>
          </w:tcPr>
          <w:p w14:paraId="2E018259" w14:textId="77777777" w:rsidR="005D7CE9" w:rsidRDefault="00000000">
            <w:r>
              <w:rPr>
                <w:b/>
                <w:bCs/>
                <w:color w:val="FFFFFF"/>
              </w:rPr>
              <w:t>Where It Was Missed Earlier</w:t>
            </w:r>
          </w:p>
        </w:tc>
        <w:tc>
          <w:tcPr>
            <w:tcW w:w="3850" w:type="dxa"/>
            <w:shd w:val="clear" w:color="auto" w:fill="2F5496"/>
            <w:tcMar>
              <w:top w:w="100" w:type="dxa"/>
              <w:left w:w="120" w:type="dxa"/>
              <w:bottom w:w="100" w:type="dxa"/>
              <w:right w:w="120" w:type="dxa"/>
            </w:tcMar>
          </w:tcPr>
          <w:p w14:paraId="0AF26C7F" w14:textId="77777777" w:rsidR="005D7CE9" w:rsidRDefault="00000000">
            <w:r>
              <w:rPr>
                <w:b/>
                <w:bCs/>
                <w:color w:val="FFFFFF"/>
              </w:rPr>
              <w:t>Mitigation</w:t>
            </w:r>
          </w:p>
        </w:tc>
      </w:tr>
      <w:tr w:rsidR="005D7CE9" w14:paraId="200AA9D7" w14:textId="77777777">
        <w:tblPrEx>
          <w:tblCellMar>
            <w:top w:w="0" w:type="dxa"/>
            <w:bottom w:w="0" w:type="dxa"/>
          </w:tblCellMar>
        </w:tblPrEx>
        <w:tc>
          <w:tcPr>
            <w:tcW w:w="2100" w:type="dxa"/>
            <w:tcMar>
              <w:top w:w="100" w:type="dxa"/>
              <w:left w:w="120" w:type="dxa"/>
              <w:bottom w:w="100" w:type="dxa"/>
              <w:right w:w="120" w:type="dxa"/>
            </w:tcMar>
          </w:tcPr>
          <w:p w14:paraId="53E73808" w14:textId="77777777" w:rsidR="005D7CE9" w:rsidRDefault="00000000" w:rsidP="008911D1">
            <w:pPr>
              <w:jc w:val="both"/>
            </w:pPr>
            <w:r>
              <w:rPr>
                <w:color w:val="000000"/>
              </w:rPr>
              <w:t>JWT validity across horizontally scaled API instances</w:t>
            </w:r>
          </w:p>
        </w:tc>
        <w:tc>
          <w:tcPr>
            <w:tcW w:w="3400" w:type="dxa"/>
            <w:tcMar>
              <w:top w:w="100" w:type="dxa"/>
              <w:left w:w="120" w:type="dxa"/>
              <w:bottom w:w="100" w:type="dxa"/>
              <w:right w:w="120" w:type="dxa"/>
            </w:tcMar>
          </w:tcPr>
          <w:p w14:paraId="685D64BE" w14:textId="77777777" w:rsidR="005D7CE9" w:rsidRDefault="00000000" w:rsidP="008911D1">
            <w:pPr>
              <w:jc w:val="both"/>
            </w:pPr>
            <w:r>
              <w:rPr>
                <w:color w:val="000000"/>
              </w:rPr>
              <w:t>Week 2, Section 6.2 discussed scaling the API but did not address token validation consistency across instances</w:t>
            </w:r>
          </w:p>
        </w:tc>
        <w:tc>
          <w:tcPr>
            <w:tcW w:w="3850" w:type="dxa"/>
            <w:tcMar>
              <w:top w:w="100" w:type="dxa"/>
              <w:left w:w="120" w:type="dxa"/>
              <w:bottom w:w="100" w:type="dxa"/>
              <w:right w:w="120" w:type="dxa"/>
            </w:tcMar>
          </w:tcPr>
          <w:p w14:paraId="61EEC50F" w14:textId="77777777" w:rsidR="005D7CE9" w:rsidRDefault="00000000" w:rsidP="008911D1">
            <w:pPr>
              <w:jc w:val="both"/>
            </w:pPr>
            <w:r>
              <w:rPr>
                <w:color w:val="000000"/>
              </w:rPr>
              <w:t>Use a shared secret (or public/private key pair) for JWT signing across all instances, stored in environment configuration rather than per-instance memory, so any instance can validate a token issued by any other instance</w:t>
            </w:r>
          </w:p>
        </w:tc>
      </w:tr>
      <w:tr w:rsidR="005D7CE9" w14:paraId="4A080EE6" w14:textId="77777777">
        <w:tblPrEx>
          <w:tblCellMar>
            <w:top w:w="0" w:type="dxa"/>
            <w:bottom w:w="0" w:type="dxa"/>
          </w:tblCellMar>
        </w:tblPrEx>
        <w:tc>
          <w:tcPr>
            <w:tcW w:w="2100" w:type="dxa"/>
            <w:tcMar>
              <w:top w:w="100" w:type="dxa"/>
              <w:left w:w="120" w:type="dxa"/>
              <w:bottom w:w="100" w:type="dxa"/>
              <w:right w:w="120" w:type="dxa"/>
            </w:tcMar>
          </w:tcPr>
          <w:p w14:paraId="54226B54" w14:textId="77777777" w:rsidR="005D7CE9" w:rsidRDefault="00000000" w:rsidP="008911D1">
            <w:pPr>
              <w:jc w:val="both"/>
            </w:pPr>
            <w:r>
              <w:rPr>
                <w:color w:val="000000"/>
              </w:rPr>
              <w:t>Rate limiting on the Auth Module</w:t>
            </w:r>
          </w:p>
        </w:tc>
        <w:tc>
          <w:tcPr>
            <w:tcW w:w="3400" w:type="dxa"/>
            <w:tcMar>
              <w:top w:w="100" w:type="dxa"/>
              <w:left w:w="120" w:type="dxa"/>
              <w:bottom w:w="100" w:type="dxa"/>
              <w:right w:w="120" w:type="dxa"/>
            </w:tcMar>
          </w:tcPr>
          <w:p w14:paraId="477C67A2" w14:textId="77777777" w:rsidR="005D7CE9" w:rsidRDefault="00000000" w:rsidP="008911D1">
            <w:pPr>
              <w:jc w:val="both"/>
            </w:pPr>
            <w:r>
              <w:rPr>
                <w:color w:val="000000"/>
              </w:rPr>
              <w:t>Not addressed in Week 1's NFR list or Week 2's Auth Module description</w:t>
            </w:r>
          </w:p>
        </w:tc>
        <w:tc>
          <w:tcPr>
            <w:tcW w:w="3850" w:type="dxa"/>
            <w:tcMar>
              <w:top w:w="100" w:type="dxa"/>
              <w:left w:w="120" w:type="dxa"/>
              <w:bottom w:w="100" w:type="dxa"/>
              <w:right w:w="120" w:type="dxa"/>
            </w:tcMar>
          </w:tcPr>
          <w:p w14:paraId="0AA07DD5" w14:textId="77777777" w:rsidR="005D7CE9" w:rsidRDefault="00000000" w:rsidP="008911D1">
            <w:pPr>
              <w:jc w:val="both"/>
            </w:pPr>
            <w:r>
              <w:rPr>
                <w:color w:val="000000"/>
              </w:rPr>
              <w:t>Add a rate limit (e.g., 5 failed login attempts per 15 minutes per account) to the Auth Module's login endpoint specifically, since Week 4's test case AUTH-03 already tests a single failed login but not repeated attempts, which is the actual attack pattern a rate limit defends against</w:t>
            </w:r>
          </w:p>
        </w:tc>
      </w:tr>
      <w:tr w:rsidR="005D7CE9" w14:paraId="2BFAEA2E" w14:textId="77777777">
        <w:tblPrEx>
          <w:tblCellMar>
            <w:top w:w="0" w:type="dxa"/>
            <w:bottom w:w="0" w:type="dxa"/>
          </w:tblCellMar>
        </w:tblPrEx>
        <w:tc>
          <w:tcPr>
            <w:tcW w:w="2100" w:type="dxa"/>
            <w:tcMar>
              <w:top w:w="100" w:type="dxa"/>
              <w:left w:w="120" w:type="dxa"/>
              <w:bottom w:w="100" w:type="dxa"/>
              <w:right w:w="120" w:type="dxa"/>
            </w:tcMar>
          </w:tcPr>
          <w:p w14:paraId="32306213" w14:textId="77777777" w:rsidR="005D7CE9" w:rsidRDefault="00000000" w:rsidP="008911D1">
            <w:pPr>
              <w:jc w:val="both"/>
            </w:pPr>
            <w:r>
              <w:rPr>
                <w:color w:val="000000"/>
              </w:rPr>
              <w:t>CSV export data exposure</w:t>
            </w:r>
          </w:p>
        </w:tc>
        <w:tc>
          <w:tcPr>
            <w:tcW w:w="3400" w:type="dxa"/>
            <w:tcMar>
              <w:top w:w="100" w:type="dxa"/>
              <w:left w:w="120" w:type="dxa"/>
              <w:bottom w:w="100" w:type="dxa"/>
              <w:right w:w="120" w:type="dxa"/>
            </w:tcMar>
          </w:tcPr>
          <w:p w14:paraId="052F488D" w14:textId="77777777" w:rsidR="005D7CE9" w:rsidRDefault="00000000" w:rsidP="008911D1">
            <w:pPr>
              <w:jc w:val="both"/>
            </w:pPr>
            <w:r>
              <w:rPr>
                <w:color w:val="000000"/>
              </w:rPr>
              <w:t>Week 2's Integration Module description (Section 3.5) covers CSV export functionally but not access control</w:t>
            </w:r>
          </w:p>
        </w:tc>
        <w:tc>
          <w:tcPr>
            <w:tcW w:w="3850" w:type="dxa"/>
            <w:tcMar>
              <w:top w:w="100" w:type="dxa"/>
              <w:left w:w="120" w:type="dxa"/>
              <w:bottom w:w="100" w:type="dxa"/>
              <w:right w:w="120" w:type="dxa"/>
            </w:tcMar>
          </w:tcPr>
          <w:p w14:paraId="01FEEDF1" w14:textId="77777777" w:rsidR="005D7CE9" w:rsidRDefault="00000000" w:rsidP="008911D1">
            <w:pPr>
              <w:jc w:val="both"/>
            </w:pPr>
            <w:r>
              <w:rPr>
                <w:color w:val="000000"/>
              </w:rPr>
              <w:t>Ensure the CSV export endpoint re-validates the requesting user's JWT and filters strictly to that user's own expenses — the same validation already used elsewhere (Week 3, Test case INT-02 checks totals match, but does not test that a second user's expenses are excluded)</w:t>
            </w:r>
          </w:p>
        </w:tc>
      </w:tr>
      <w:tr w:rsidR="005D7CE9" w14:paraId="3468DA96" w14:textId="77777777">
        <w:tblPrEx>
          <w:tblCellMar>
            <w:top w:w="0" w:type="dxa"/>
            <w:bottom w:w="0" w:type="dxa"/>
          </w:tblCellMar>
        </w:tblPrEx>
        <w:tc>
          <w:tcPr>
            <w:tcW w:w="2100" w:type="dxa"/>
            <w:tcMar>
              <w:top w:w="100" w:type="dxa"/>
              <w:left w:w="120" w:type="dxa"/>
              <w:bottom w:w="100" w:type="dxa"/>
              <w:right w:w="120" w:type="dxa"/>
            </w:tcMar>
          </w:tcPr>
          <w:p w14:paraId="53F69FF5" w14:textId="77777777" w:rsidR="005D7CE9" w:rsidRDefault="00000000" w:rsidP="008911D1">
            <w:pPr>
              <w:jc w:val="both"/>
            </w:pPr>
            <w:r>
              <w:rPr>
                <w:color w:val="000000"/>
              </w:rPr>
              <w:t>Secrets in version control</w:t>
            </w:r>
          </w:p>
        </w:tc>
        <w:tc>
          <w:tcPr>
            <w:tcW w:w="3400" w:type="dxa"/>
            <w:tcMar>
              <w:top w:w="100" w:type="dxa"/>
              <w:left w:w="120" w:type="dxa"/>
              <w:bottom w:w="100" w:type="dxa"/>
              <w:right w:w="120" w:type="dxa"/>
            </w:tcMar>
          </w:tcPr>
          <w:p w14:paraId="37636228" w14:textId="77777777" w:rsidR="005D7CE9" w:rsidRDefault="00000000" w:rsidP="008911D1">
            <w:pPr>
              <w:jc w:val="both"/>
            </w:pPr>
            <w:r>
              <w:rPr>
                <w:color w:val="000000"/>
              </w:rPr>
              <w:t>Not addressed in any prior document</w:t>
            </w:r>
          </w:p>
        </w:tc>
        <w:tc>
          <w:tcPr>
            <w:tcW w:w="3850" w:type="dxa"/>
            <w:tcMar>
              <w:top w:w="100" w:type="dxa"/>
              <w:left w:w="120" w:type="dxa"/>
              <w:bottom w:w="100" w:type="dxa"/>
              <w:right w:w="120" w:type="dxa"/>
            </w:tcMar>
          </w:tcPr>
          <w:p w14:paraId="7AB95E70" w14:textId="77777777" w:rsidR="005D7CE9" w:rsidRDefault="00000000" w:rsidP="008911D1">
            <w:pPr>
              <w:jc w:val="both"/>
            </w:pPr>
            <w:r>
              <w:rPr>
                <w:color w:val="000000"/>
              </w:rPr>
              <w:t xml:space="preserve">Environment-specific secrets (database credentials, JWT signing key) are never committed to the GitHub repository; </w:t>
            </w:r>
            <w:proofErr w:type="gramStart"/>
            <w:r>
              <w:rPr>
                <w:color w:val="000000"/>
              </w:rPr>
              <w:t>a .</w:t>
            </w:r>
            <w:proofErr w:type="spellStart"/>
            <w:r>
              <w:rPr>
                <w:color w:val="000000"/>
              </w:rPr>
              <w:t>gitignore</w:t>
            </w:r>
            <w:proofErr w:type="spellEnd"/>
            <w:proofErr w:type="gramEnd"/>
            <w:r>
              <w:rPr>
                <w:color w:val="000000"/>
              </w:rPr>
              <w:t xml:space="preserve"> entry and </w:t>
            </w:r>
            <w:proofErr w:type="gramStart"/>
            <w:r>
              <w:rPr>
                <w:color w:val="000000"/>
              </w:rPr>
              <w:t>an .</w:t>
            </w:r>
            <w:proofErr w:type="spellStart"/>
            <w:r>
              <w:rPr>
                <w:color w:val="000000"/>
              </w:rPr>
              <w:t>env</w:t>
            </w:r>
            <w:proofErr w:type="gramEnd"/>
            <w:r>
              <w:rPr>
                <w:color w:val="000000"/>
              </w:rPr>
              <w:t>.example</w:t>
            </w:r>
            <w:proofErr w:type="spellEnd"/>
            <w:r>
              <w:rPr>
                <w:color w:val="000000"/>
              </w:rPr>
              <w:t xml:space="preserve"> template (with placeholder values only) are used instead, consistent with the static-analysis check for hard-coded secrets already defined in Week 5, Section 2.2</w:t>
            </w:r>
          </w:p>
        </w:tc>
      </w:tr>
    </w:tbl>
    <w:p w14:paraId="3596758C" w14:textId="77777777" w:rsidR="005D7CE9" w:rsidRDefault="00000000">
      <w:pPr>
        <w:pStyle w:val="Heading1"/>
        <w:pageBreakBefore/>
        <w:spacing w:before="360" w:after="200"/>
      </w:pPr>
      <w:bookmarkStart w:id="9" w:name="_Toc239074739"/>
      <w:r>
        <w:lastRenderedPageBreak/>
        <w:t>6. Future Roadmap</w:t>
      </w:r>
      <w:bookmarkEnd w:id="9"/>
    </w:p>
    <w:p w14:paraId="68285985" w14:textId="77777777" w:rsidR="005D7CE9" w:rsidRDefault="00000000" w:rsidP="008911D1">
      <w:pPr>
        <w:spacing w:after="200"/>
        <w:jc w:val="both"/>
      </w:pPr>
      <w:r>
        <w:t>The following roadmap sequences the features explicitly deferred in Week 1's out-of-scope list (Section 5.2) and the Integration Module's "planned" extension points (Week 2, Section 3.5), rather than introducing new, previously unconsidered features.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450"/>
        <w:gridCol w:w="2600"/>
        <w:gridCol w:w="2550"/>
      </w:tblGrid>
      <w:tr w:rsidR="005D7CE9" w14:paraId="08AC13F4" w14:textId="77777777">
        <w:tblPrEx>
          <w:tblCellMar>
            <w:top w:w="0" w:type="dxa"/>
            <w:bottom w:w="0" w:type="dxa"/>
          </w:tblCellMar>
        </w:tblPrEx>
        <w:tc>
          <w:tcPr>
            <w:tcW w:w="1750" w:type="dxa"/>
            <w:shd w:val="clear" w:color="auto" w:fill="2F5496"/>
            <w:tcMar>
              <w:top w:w="100" w:type="dxa"/>
              <w:left w:w="120" w:type="dxa"/>
              <w:bottom w:w="100" w:type="dxa"/>
              <w:right w:w="120" w:type="dxa"/>
            </w:tcMar>
          </w:tcPr>
          <w:p w14:paraId="6EFF1F1A" w14:textId="77777777" w:rsidR="005D7CE9" w:rsidRDefault="00000000">
            <w:r>
              <w:rPr>
                <w:b/>
                <w:bCs/>
                <w:color w:val="FFFFFF"/>
              </w:rPr>
              <w:t>Phase</w:t>
            </w:r>
          </w:p>
        </w:tc>
        <w:tc>
          <w:tcPr>
            <w:tcW w:w="2450" w:type="dxa"/>
            <w:shd w:val="clear" w:color="auto" w:fill="2F5496"/>
            <w:tcMar>
              <w:top w:w="100" w:type="dxa"/>
              <w:left w:w="120" w:type="dxa"/>
              <w:bottom w:w="100" w:type="dxa"/>
              <w:right w:w="120" w:type="dxa"/>
            </w:tcMar>
          </w:tcPr>
          <w:p w14:paraId="4C5915D7" w14:textId="77777777" w:rsidR="005D7CE9" w:rsidRDefault="00000000">
            <w:r>
              <w:rPr>
                <w:b/>
                <w:bCs/>
                <w:color w:val="FFFFFF"/>
              </w:rPr>
              <w:t>Enhancement</w:t>
            </w:r>
          </w:p>
        </w:tc>
        <w:tc>
          <w:tcPr>
            <w:tcW w:w="2600" w:type="dxa"/>
            <w:shd w:val="clear" w:color="auto" w:fill="2F5496"/>
            <w:tcMar>
              <w:top w:w="100" w:type="dxa"/>
              <w:left w:w="120" w:type="dxa"/>
              <w:bottom w:w="100" w:type="dxa"/>
              <w:right w:w="120" w:type="dxa"/>
            </w:tcMar>
          </w:tcPr>
          <w:p w14:paraId="10A7BA71" w14:textId="77777777" w:rsidR="005D7CE9" w:rsidRDefault="00000000">
            <w:r>
              <w:rPr>
                <w:b/>
                <w:bCs/>
                <w:color w:val="FFFFFF"/>
              </w:rPr>
              <w:t>Depends On</w:t>
            </w:r>
          </w:p>
        </w:tc>
        <w:tc>
          <w:tcPr>
            <w:tcW w:w="2550" w:type="dxa"/>
            <w:shd w:val="clear" w:color="auto" w:fill="2F5496"/>
            <w:tcMar>
              <w:top w:w="100" w:type="dxa"/>
              <w:left w:w="120" w:type="dxa"/>
              <w:bottom w:w="100" w:type="dxa"/>
              <w:right w:w="120" w:type="dxa"/>
            </w:tcMar>
          </w:tcPr>
          <w:p w14:paraId="0DA832A8" w14:textId="77777777" w:rsidR="005D7CE9" w:rsidRDefault="00000000">
            <w:r>
              <w:rPr>
                <w:b/>
                <w:bCs/>
                <w:color w:val="FFFFFF"/>
              </w:rPr>
              <w:t>Rationale for Sequencing</w:t>
            </w:r>
          </w:p>
        </w:tc>
      </w:tr>
      <w:tr w:rsidR="005D7CE9" w14:paraId="050A1592" w14:textId="77777777">
        <w:tblPrEx>
          <w:tblCellMar>
            <w:top w:w="0" w:type="dxa"/>
            <w:bottom w:w="0" w:type="dxa"/>
          </w:tblCellMar>
        </w:tblPrEx>
        <w:tc>
          <w:tcPr>
            <w:tcW w:w="1750" w:type="dxa"/>
            <w:tcMar>
              <w:top w:w="100" w:type="dxa"/>
              <w:left w:w="120" w:type="dxa"/>
              <w:bottom w:w="100" w:type="dxa"/>
              <w:right w:w="120" w:type="dxa"/>
            </w:tcMar>
          </w:tcPr>
          <w:p w14:paraId="4C861E9A" w14:textId="77777777" w:rsidR="005D7CE9" w:rsidRDefault="00000000" w:rsidP="008911D1">
            <w:pPr>
              <w:jc w:val="both"/>
            </w:pPr>
            <w:r>
              <w:rPr>
                <w:color w:val="000000"/>
              </w:rPr>
              <w:t>Phase 1 (Months 2–3 post-MVP)</w:t>
            </w:r>
          </w:p>
        </w:tc>
        <w:tc>
          <w:tcPr>
            <w:tcW w:w="2450" w:type="dxa"/>
            <w:tcMar>
              <w:top w:w="100" w:type="dxa"/>
              <w:left w:w="120" w:type="dxa"/>
              <w:bottom w:w="100" w:type="dxa"/>
              <w:right w:w="120" w:type="dxa"/>
            </w:tcMar>
          </w:tcPr>
          <w:p w14:paraId="5050E52B" w14:textId="77777777" w:rsidR="005D7CE9" w:rsidRDefault="00000000" w:rsidP="008911D1">
            <w:pPr>
              <w:jc w:val="both"/>
            </w:pPr>
            <w:r>
              <w:rPr>
                <w:color w:val="000000"/>
              </w:rPr>
              <w:t>Email budget alerts</w:t>
            </w:r>
          </w:p>
        </w:tc>
        <w:tc>
          <w:tcPr>
            <w:tcW w:w="2600" w:type="dxa"/>
            <w:tcMar>
              <w:top w:w="100" w:type="dxa"/>
              <w:left w:w="120" w:type="dxa"/>
              <w:bottom w:w="100" w:type="dxa"/>
              <w:right w:w="120" w:type="dxa"/>
            </w:tcMar>
          </w:tcPr>
          <w:p w14:paraId="4A7479B0" w14:textId="77777777" w:rsidR="005D7CE9" w:rsidRDefault="00000000" w:rsidP="008911D1">
            <w:pPr>
              <w:jc w:val="both"/>
            </w:pPr>
            <w:r>
              <w:rPr>
                <w:color w:val="000000"/>
              </w:rPr>
              <w:t xml:space="preserve">Integration Module's existing </w:t>
            </w:r>
            <w:proofErr w:type="spellStart"/>
            <w:proofErr w:type="gramStart"/>
            <w:r>
              <w:rPr>
                <w:color w:val="000000"/>
              </w:rPr>
              <w:t>sendBudgetAlert</w:t>
            </w:r>
            <w:proofErr w:type="spellEnd"/>
            <w:r>
              <w:rPr>
                <w:color w:val="000000"/>
              </w:rPr>
              <w:t>(</w:t>
            </w:r>
            <w:proofErr w:type="gramEnd"/>
            <w:r>
              <w:rPr>
                <w:color w:val="000000"/>
              </w:rPr>
              <w:t>) stub (Week 2, Section 3.5)</w:t>
            </w:r>
          </w:p>
        </w:tc>
        <w:tc>
          <w:tcPr>
            <w:tcW w:w="2550" w:type="dxa"/>
            <w:tcMar>
              <w:top w:w="100" w:type="dxa"/>
              <w:left w:w="120" w:type="dxa"/>
              <w:bottom w:w="100" w:type="dxa"/>
              <w:right w:w="120" w:type="dxa"/>
            </w:tcMar>
          </w:tcPr>
          <w:p w14:paraId="716D3152" w14:textId="77777777" w:rsidR="005D7CE9" w:rsidRDefault="00000000" w:rsidP="008911D1">
            <w:pPr>
              <w:jc w:val="both"/>
            </w:pPr>
            <w:r>
              <w:rPr>
                <w:color w:val="000000"/>
              </w:rPr>
              <w:t>Lowest-effort deferred feature, since the interface was already designed in Week 2 — this validates the Integration Module's extension pattern with minimal new surface area before larger features are attempted</w:t>
            </w:r>
          </w:p>
        </w:tc>
      </w:tr>
      <w:tr w:rsidR="005D7CE9" w14:paraId="0C2FA2DE" w14:textId="77777777">
        <w:tblPrEx>
          <w:tblCellMar>
            <w:top w:w="0" w:type="dxa"/>
            <w:bottom w:w="0" w:type="dxa"/>
          </w:tblCellMar>
        </w:tblPrEx>
        <w:tc>
          <w:tcPr>
            <w:tcW w:w="1750" w:type="dxa"/>
            <w:tcMar>
              <w:top w:w="100" w:type="dxa"/>
              <w:left w:w="120" w:type="dxa"/>
              <w:bottom w:w="100" w:type="dxa"/>
              <w:right w:w="120" w:type="dxa"/>
            </w:tcMar>
          </w:tcPr>
          <w:p w14:paraId="6EEA4266" w14:textId="77777777" w:rsidR="005D7CE9" w:rsidRDefault="00000000" w:rsidP="008911D1">
            <w:pPr>
              <w:jc w:val="both"/>
            </w:pPr>
            <w:r>
              <w:rPr>
                <w:color w:val="000000"/>
              </w:rPr>
              <w:t>Phase 2 (Months 3–5)</w:t>
            </w:r>
          </w:p>
        </w:tc>
        <w:tc>
          <w:tcPr>
            <w:tcW w:w="2450" w:type="dxa"/>
            <w:tcMar>
              <w:top w:w="100" w:type="dxa"/>
              <w:left w:w="120" w:type="dxa"/>
              <w:bottom w:w="100" w:type="dxa"/>
              <w:right w:w="120" w:type="dxa"/>
            </w:tcMar>
          </w:tcPr>
          <w:p w14:paraId="2C024462" w14:textId="77777777" w:rsidR="005D7CE9" w:rsidRDefault="00000000" w:rsidP="008911D1">
            <w:pPr>
              <w:jc w:val="both"/>
            </w:pPr>
            <w:r>
              <w:rPr>
                <w:color w:val="000000"/>
              </w:rPr>
              <w:t xml:space="preserve">Pre-aggregated </w:t>
            </w:r>
            <w:proofErr w:type="spellStart"/>
            <w:r>
              <w:rPr>
                <w:color w:val="000000"/>
              </w:rPr>
              <w:t>monthly_totals</w:t>
            </w:r>
            <w:proofErr w:type="spellEnd"/>
            <w:r>
              <w:rPr>
                <w:color w:val="000000"/>
              </w:rPr>
              <w:t xml:space="preserve"> table</w:t>
            </w:r>
          </w:p>
        </w:tc>
        <w:tc>
          <w:tcPr>
            <w:tcW w:w="2600" w:type="dxa"/>
            <w:tcMar>
              <w:top w:w="100" w:type="dxa"/>
              <w:left w:w="120" w:type="dxa"/>
              <w:bottom w:w="100" w:type="dxa"/>
              <w:right w:w="120" w:type="dxa"/>
            </w:tcMar>
          </w:tcPr>
          <w:p w14:paraId="6E062ADB" w14:textId="77777777" w:rsidR="005D7CE9" w:rsidRDefault="00000000" w:rsidP="008911D1">
            <w:pPr>
              <w:jc w:val="both"/>
            </w:pPr>
            <w:r>
              <w:rPr>
                <w:color w:val="000000"/>
              </w:rPr>
              <w:t>The specific scalability bottleneck identified in Week 2, Section 6.2</w:t>
            </w:r>
          </w:p>
        </w:tc>
        <w:tc>
          <w:tcPr>
            <w:tcW w:w="2550" w:type="dxa"/>
            <w:tcMar>
              <w:top w:w="100" w:type="dxa"/>
              <w:left w:w="120" w:type="dxa"/>
              <w:bottom w:w="100" w:type="dxa"/>
              <w:right w:w="120" w:type="dxa"/>
            </w:tcMar>
          </w:tcPr>
          <w:p w14:paraId="7DA709CB" w14:textId="77777777" w:rsidR="005D7CE9" w:rsidRDefault="00000000" w:rsidP="008911D1">
            <w:pPr>
              <w:jc w:val="both"/>
            </w:pPr>
            <w:r>
              <w:rPr>
                <w:color w:val="000000"/>
              </w:rPr>
              <w:t>Addresses a named, already-diagnosed performance problem rather than speculative optimization, and directly resolves the API response time KPI risk noted in Section 3 of this document</w:t>
            </w:r>
          </w:p>
        </w:tc>
      </w:tr>
      <w:tr w:rsidR="005D7CE9" w14:paraId="7F26EEED" w14:textId="77777777">
        <w:tblPrEx>
          <w:tblCellMar>
            <w:top w:w="0" w:type="dxa"/>
            <w:bottom w:w="0" w:type="dxa"/>
          </w:tblCellMar>
        </w:tblPrEx>
        <w:tc>
          <w:tcPr>
            <w:tcW w:w="1750" w:type="dxa"/>
            <w:tcMar>
              <w:top w:w="100" w:type="dxa"/>
              <w:left w:w="120" w:type="dxa"/>
              <w:bottom w:w="100" w:type="dxa"/>
              <w:right w:w="120" w:type="dxa"/>
            </w:tcMar>
          </w:tcPr>
          <w:p w14:paraId="1A87C457" w14:textId="77777777" w:rsidR="005D7CE9" w:rsidRDefault="00000000" w:rsidP="008911D1">
            <w:pPr>
              <w:jc w:val="both"/>
            </w:pPr>
            <w:r>
              <w:rPr>
                <w:color w:val="000000"/>
              </w:rPr>
              <w:t>Phase 3 (Months 5–8)</w:t>
            </w:r>
          </w:p>
        </w:tc>
        <w:tc>
          <w:tcPr>
            <w:tcW w:w="2450" w:type="dxa"/>
            <w:tcMar>
              <w:top w:w="100" w:type="dxa"/>
              <w:left w:w="120" w:type="dxa"/>
              <w:bottom w:w="100" w:type="dxa"/>
              <w:right w:w="120" w:type="dxa"/>
            </w:tcMar>
          </w:tcPr>
          <w:p w14:paraId="6583FF17" w14:textId="77777777" w:rsidR="005D7CE9" w:rsidRDefault="00000000" w:rsidP="008911D1">
            <w:pPr>
              <w:jc w:val="both"/>
            </w:pPr>
            <w:r>
              <w:rPr>
                <w:color w:val="000000"/>
              </w:rPr>
              <w:t>Multi-user household budgets</w:t>
            </w:r>
          </w:p>
        </w:tc>
        <w:tc>
          <w:tcPr>
            <w:tcW w:w="2600" w:type="dxa"/>
            <w:tcMar>
              <w:top w:w="100" w:type="dxa"/>
              <w:left w:w="120" w:type="dxa"/>
              <w:bottom w:w="100" w:type="dxa"/>
              <w:right w:w="120" w:type="dxa"/>
            </w:tcMar>
          </w:tcPr>
          <w:p w14:paraId="13DE0C1F" w14:textId="77777777" w:rsidR="005D7CE9" w:rsidRDefault="00000000" w:rsidP="008911D1">
            <w:pPr>
              <w:jc w:val="both"/>
            </w:pPr>
            <w:r>
              <w:rPr>
                <w:color w:val="000000"/>
              </w:rPr>
              <w:t>Requires revisiting the single-owner assumption baked into the User Repository and JWT design (Week 2, Sections 3.1, 3.4)</w:t>
            </w:r>
          </w:p>
        </w:tc>
        <w:tc>
          <w:tcPr>
            <w:tcW w:w="2550" w:type="dxa"/>
            <w:tcMar>
              <w:top w:w="100" w:type="dxa"/>
              <w:left w:w="120" w:type="dxa"/>
              <w:bottom w:w="100" w:type="dxa"/>
              <w:right w:w="120" w:type="dxa"/>
            </w:tcMar>
          </w:tcPr>
          <w:p w14:paraId="4883B0EA" w14:textId="77777777" w:rsidR="005D7CE9" w:rsidRDefault="00000000" w:rsidP="008911D1">
            <w:pPr>
              <w:jc w:val="both"/>
            </w:pPr>
            <w:r>
              <w:rPr>
                <w:color w:val="000000"/>
              </w:rPr>
              <w:t>Explicitly excluded from MVP scope (Week 1, Section 5.2) because it is the most architecturally invasive change — it is sequenced last, after the codebase has real usage data to confirm demand</w:t>
            </w:r>
          </w:p>
        </w:tc>
      </w:tr>
      <w:tr w:rsidR="005D7CE9" w14:paraId="4730973B" w14:textId="77777777">
        <w:tblPrEx>
          <w:tblCellMar>
            <w:top w:w="0" w:type="dxa"/>
            <w:bottom w:w="0" w:type="dxa"/>
          </w:tblCellMar>
        </w:tblPrEx>
        <w:tc>
          <w:tcPr>
            <w:tcW w:w="1750" w:type="dxa"/>
            <w:tcMar>
              <w:top w:w="100" w:type="dxa"/>
              <w:left w:w="120" w:type="dxa"/>
              <w:bottom w:w="100" w:type="dxa"/>
              <w:right w:w="120" w:type="dxa"/>
            </w:tcMar>
          </w:tcPr>
          <w:p w14:paraId="13A8E5D9" w14:textId="77777777" w:rsidR="005D7CE9" w:rsidRDefault="00000000" w:rsidP="008911D1">
            <w:pPr>
              <w:jc w:val="both"/>
            </w:pPr>
            <w:r>
              <w:rPr>
                <w:color w:val="000000"/>
              </w:rPr>
              <w:t>Phase 4 (Months 8–10)</w:t>
            </w:r>
          </w:p>
        </w:tc>
        <w:tc>
          <w:tcPr>
            <w:tcW w:w="2450" w:type="dxa"/>
            <w:tcMar>
              <w:top w:w="100" w:type="dxa"/>
              <w:left w:w="120" w:type="dxa"/>
              <w:bottom w:w="100" w:type="dxa"/>
              <w:right w:w="120" w:type="dxa"/>
            </w:tcMar>
          </w:tcPr>
          <w:p w14:paraId="51867119" w14:textId="77777777" w:rsidR="005D7CE9" w:rsidRDefault="00000000" w:rsidP="008911D1">
            <w:pPr>
              <w:jc w:val="both"/>
            </w:pPr>
            <w:r>
              <w:rPr>
                <w:color w:val="000000"/>
              </w:rPr>
              <w:t>Bank/card transaction import</w:t>
            </w:r>
          </w:p>
        </w:tc>
        <w:tc>
          <w:tcPr>
            <w:tcW w:w="2600" w:type="dxa"/>
            <w:tcMar>
              <w:top w:w="100" w:type="dxa"/>
              <w:left w:w="120" w:type="dxa"/>
              <w:bottom w:w="100" w:type="dxa"/>
              <w:right w:w="120" w:type="dxa"/>
            </w:tcMar>
          </w:tcPr>
          <w:p w14:paraId="2DADBFEC" w14:textId="77777777" w:rsidR="005D7CE9" w:rsidRDefault="00000000" w:rsidP="008911D1">
            <w:pPr>
              <w:jc w:val="both"/>
            </w:pPr>
            <w:r>
              <w:rPr>
                <w:color w:val="000000"/>
              </w:rPr>
              <w:t>The Integration Module's designed-but-deferred bank-import extension point (Week 2, Section 3.5)</w:t>
            </w:r>
          </w:p>
        </w:tc>
        <w:tc>
          <w:tcPr>
            <w:tcW w:w="2550" w:type="dxa"/>
            <w:tcMar>
              <w:top w:w="100" w:type="dxa"/>
              <w:left w:w="120" w:type="dxa"/>
              <w:bottom w:w="100" w:type="dxa"/>
              <w:right w:w="120" w:type="dxa"/>
            </w:tcMar>
          </w:tcPr>
          <w:p w14:paraId="7DA89387" w14:textId="77777777" w:rsidR="005D7CE9" w:rsidRDefault="00000000" w:rsidP="008911D1">
            <w:pPr>
              <w:jc w:val="both"/>
            </w:pPr>
            <w:r>
              <w:rPr>
                <w:color w:val="000000"/>
              </w:rPr>
              <w:t>Highest external dependency risk (a third-party banking API), sequenced after the Integration Module's pattern has already been proven once in Phase 1 with the lower-risk email feature</w:t>
            </w:r>
          </w:p>
        </w:tc>
      </w:tr>
    </w:tbl>
    <w:p w14:paraId="2E268F92" w14:textId="77777777" w:rsidR="005D7CE9" w:rsidRDefault="00000000" w:rsidP="008911D1">
      <w:pPr>
        <w:spacing w:after="200"/>
        <w:jc w:val="both"/>
      </w:pPr>
      <w:r>
        <w:t>Technology upgrades are considered separately from features: PostgreSQL, React, and Express (Week 2, Section 5) are not proposed for replacement, since no limitation traced to the technology choices themselves — as opposed to the application logic built on top of them — has been identified in any of the five prior documents. Upgrading within the same technology (e.g., a new PostgreSQL major version) would be handled as routine maintenance rather than a roadmap item.</w:t>
      </w:r>
    </w:p>
    <w:p w14:paraId="185EA56A" w14:textId="77777777" w:rsidR="005D7CE9" w:rsidRDefault="00000000">
      <w:pPr>
        <w:pStyle w:val="Heading1"/>
        <w:pageBreakBefore/>
        <w:spacing w:before="360" w:after="200"/>
      </w:pPr>
      <w:bookmarkStart w:id="10" w:name="_Toc239074740"/>
      <w:r>
        <w:lastRenderedPageBreak/>
        <w:t>7. Risk and Mitigation Analysis</w:t>
      </w:r>
      <w:bookmarkEnd w:id="10"/>
    </w:p>
    <w:p w14:paraId="01FC9107" w14:textId="77777777" w:rsidR="005D7CE9" w:rsidRDefault="00000000" w:rsidP="008911D1">
      <w:pPr>
        <w:spacing w:after="200"/>
        <w:jc w:val="both"/>
      </w:pPr>
      <w:r>
        <w:t>This section evaluates risks discovered specifically during this final evaluation — distinct from the sprint-level risks already catalogued in Week 3, Section 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350"/>
        <w:gridCol w:w="3300"/>
      </w:tblGrid>
      <w:tr w:rsidR="005D7CE9" w14:paraId="52F11A2C" w14:textId="77777777">
        <w:tblPrEx>
          <w:tblCellMar>
            <w:top w:w="0" w:type="dxa"/>
            <w:bottom w:w="0" w:type="dxa"/>
          </w:tblCellMar>
        </w:tblPrEx>
        <w:tc>
          <w:tcPr>
            <w:tcW w:w="2700" w:type="dxa"/>
            <w:shd w:val="clear" w:color="auto" w:fill="2F5496"/>
            <w:tcMar>
              <w:top w:w="100" w:type="dxa"/>
              <w:left w:w="120" w:type="dxa"/>
              <w:bottom w:w="100" w:type="dxa"/>
              <w:right w:w="120" w:type="dxa"/>
            </w:tcMar>
          </w:tcPr>
          <w:p w14:paraId="515471E3" w14:textId="77777777" w:rsidR="005D7CE9" w:rsidRDefault="00000000">
            <w:r>
              <w:rPr>
                <w:b/>
                <w:bCs/>
                <w:color w:val="FFFFFF"/>
              </w:rPr>
              <w:t>Risk Discovered During Evaluation</w:t>
            </w:r>
          </w:p>
        </w:tc>
        <w:tc>
          <w:tcPr>
            <w:tcW w:w="3350" w:type="dxa"/>
            <w:shd w:val="clear" w:color="auto" w:fill="2F5496"/>
            <w:tcMar>
              <w:top w:w="100" w:type="dxa"/>
              <w:left w:w="120" w:type="dxa"/>
              <w:bottom w:w="100" w:type="dxa"/>
              <w:right w:w="120" w:type="dxa"/>
            </w:tcMar>
          </w:tcPr>
          <w:p w14:paraId="2FA20216" w14:textId="77777777" w:rsidR="005D7CE9" w:rsidRDefault="00000000">
            <w:r>
              <w:rPr>
                <w:b/>
                <w:bCs/>
                <w:color w:val="FFFFFF"/>
              </w:rPr>
              <w:t>Why It Was Missed Earlier</w:t>
            </w:r>
          </w:p>
        </w:tc>
        <w:tc>
          <w:tcPr>
            <w:tcW w:w="3300" w:type="dxa"/>
            <w:shd w:val="clear" w:color="auto" w:fill="2F5496"/>
            <w:tcMar>
              <w:top w:w="100" w:type="dxa"/>
              <w:left w:w="120" w:type="dxa"/>
              <w:bottom w:w="100" w:type="dxa"/>
              <w:right w:w="120" w:type="dxa"/>
            </w:tcMar>
          </w:tcPr>
          <w:p w14:paraId="7536D0B1" w14:textId="77777777" w:rsidR="005D7CE9" w:rsidRDefault="00000000">
            <w:r>
              <w:rPr>
                <w:b/>
                <w:bCs/>
                <w:color w:val="FFFFFF"/>
              </w:rPr>
              <w:t>Actionable Mitigation for Future Projects</w:t>
            </w:r>
          </w:p>
        </w:tc>
      </w:tr>
      <w:tr w:rsidR="005D7CE9" w14:paraId="449ECE18" w14:textId="77777777">
        <w:tblPrEx>
          <w:tblCellMar>
            <w:top w:w="0" w:type="dxa"/>
            <w:bottom w:w="0" w:type="dxa"/>
          </w:tblCellMar>
        </w:tblPrEx>
        <w:tc>
          <w:tcPr>
            <w:tcW w:w="2700" w:type="dxa"/>
            <w:tcMar>
              <w:top w:w="100" w:type="dxa"/>
              <w:left w:w="120" w:type="dxa"/>
              <w:bottom w:w="100" w:type="dxa"/>
              <w:right w:w="120" w:type="dxa"/>
            </w:tcMar>
          </w:tcPr>
          <w:p w14:paraId="0685FE34" w14:textId="77777777" w:rsidR="005D7CE9" w:rsidRDefault="00000000" w:rsidP="008911D1">
            <w:pPr>
              <w:jc w:val="both"/>
            </w:pPr>
            <w:r>
              <w:rPr>
                <w:color w:val="000000"/>
              </w:rPr>
              <w:t>Security analysis was absent until this final review</w:t>
            </w:r>
          </w:p>
        </w:tc>
        <w:tc>
          <w:tcPr>
            <w:tcW w:w="3350" w:type="dxa"/>
            <w:tcMar>
              <w:top w:w="100" w:type="dxa"/>
              <w:left w:w="120" w:type="dxa"/>
              <w:bottom w:w="100" w:type="dxa"/>
              <w:right w:w="120" w:type="dxa"/>
            </w:tcMar>
          </w:tcPr>
          <w:p w14:paraId="5D75B9CD" w14:textId="77777777" w:rsidR="005D7CE9" w:rsidRDefault="00000000" w:rsidP="008911D1">
            <w:pPr>
              <w:jc w:val="both"/>
            </w:pPr>
            <w:r>
              <w:rPr>
                <w:color w:val="000000"/>
              </w:rPr>
              <w:t>No document in Weeks 1–5 had a dedicated security section; security concerns were scattered as single NFRs or checklist items</w:t>
            </w:r>
          </w:p>
        </w:tc>
        <w:tc>
          <w:tcPr>
            <w:tcW w:w="3300" w:type="dxa"/>
            <w:tcMar>
              <w:top w:w="100" w:type="dxa"/>
              <w:left w:w="120" w:type="dxa"/>
              <w:bottom w:w="100" w:type="dxa"/>
              <w:right w:w="120" w:type="dxa"/>
            </w:tcMar>
          </w:tcPr>
          <w:p w14:paraId="0865CE0F" w14:textId="77777777" w:rsidR="005D7CE9" w:rsidRDefault="00000000" w:rsidP="008911D1">
            <w:pPr>
              <w:jc w:val="both"/>
            </w:pPr>
            <w:r>
              <w:rPr>
                <w:color w:val="000000"/>
              </w:rPr>
              <w:t>Add a dedicated Security section as a required part of the Week 2 architecture template, not an optional add-on discovered only at project close</w:t>
            </w:r>
          </w:p>
        </w:tc>
      </w:tr>
      <w:tr w:rsidR="005D7CE9" w14:paraId="1E47BFA6" w14:textId="77777777">
        <w:tblPrEx>
          <w:tblCellMar>
            <w:top w:w="0" w:type="dxa"/>
            <w:bottom w:w="0" w:type="dxa"/>
          </w:tblCellMar>
        </w:tblPrEx>
        <w:tc>
          <w:tcPr>
            <w:tcW w:w="2700" w:type="dxa"/>
            <w:tcMar>
              <w:top w:w="100" w:type="dxa"/>
              <w:left w:w="120" w:type="dxa"/>
              <w:bottom w:w="100" w:type="dxa"/>
              <w:right w:w="120" w:type="dxa"/>
            </w:tcMar>
          </w:tcPr>
          <w:p w14:paraId="1B5554D9" w14:textId="77777777" w:rsidR="005D7CE9" w:rsidRDefault="00000000" w:rsidP="008911D1">
            <w:pPr>
              <w:jc w:val="both"/>
            </w:pPr>
            <w:r>
              <w:rPr>
                <w:color w:val="000000"/>
              </w:rPr>
              <w:t>User-facing success metrics were never defined</w:t>
            </w:r>
          </w:p>
        </w:tc>
        <w:tc>
          <w:tcPr>
            <w:tcW w:w="3350" w:type="dxa"/>
            <w:tcMar>
              <w:top w:w="100" w:type="dxa"/>
              <w:left w:w="120" w:type="dxa"/>
              <w:bottom w:w="100" w:type="dxa"/>
              <w:right w:w="120" w:type="dxa"/>
            </w:tcMar>
          </w:tcPr>
          <w:p w14:paraId="33A4D26A" w14:textId="77777777" w:rsidR="005D7CE9" w:rsidRDefault="00000000" w:rsidP="008911D1">
            <w:pPr>
              <w:jc w:val="both"/>
            </w:pPr>
            <w:r>
              <w:rPr>
                <w:color w:val="000000"/>
              </w:rPr>
              <w:t>All KPIs (Week 4) measured internal code quality (coverage, defect density) rather than whether the product works for its user</w:t>
            </w:r>
          </w:p>
        </w:tc>
        <w:tc>
          <w:tcPr>
            <w:tcW w:w="3300" w:type="dxa"/>
            <w:tcMar>
              <w:top w:w="100" w:type="dxa"/>
              <w:left w:w="120" w:type="dxa"/>
              <w:bottom w:w="100" w:type="dxa"/>
              <w:right w:w="120" w:type="dxa"/>
            </w:tcMar>
          </w:tcPr>
          <w:p w14:paraId="5528EE38" w14:textId="77777777" w:rsidR="005D7CE9" w:rsidRDefault="00000000" w:rsidP="008911D1">
            <w:pPr>
              <w:jc w:val="both"/>
            </w:pPr>
            <w:r>
              <w:rPr>
                <w:color w:val="000000"/>
              </w:rPr>
              <w:t>Define at least one user-facing metric (e.g., the satisfaction rating introduced in Section 3) as early as the Week 1 SRD, alongside functional and non-functional requirements</w:t>
            </w:r>
          </w:p>
        </w:tc>
      </w:tr>
      <w:tr w:rsidR="005D7CE9" w14:paraId="2DDE0987" w14:textId="77777777">
        <w:tblPrEx>
          <w:tblCellMar>
            <w:top w:w="0" w:type="dxa"/>
            <w:bottom w:w="0" w:type="dxa"/>
          </w:tblCellMar>
        </w:tblPrEx>
        <w:tc>
          <w:tcPr>
            <w:tcW w:w="2700" w:type="dxa"/>
            <w:tcMar>
              <w:top w:w="100" w:type="dxa"/>
              <w:left w:w="120" w:type="dxa"/>
              <w:bottom w:w="100" w:type="dxa"/>
              <w:right w:w="120" w:type="dxa"/>
            </w:tcMar>
          </w:tcPr>
          <w:p w14:paraId="41900CF6" w14:textId="77777777" w:rsidR="005D7CE9" w:rsidRDefault="00000000" w:rsidP="008911D1">
            <w:pPr>
              <w:jc w:val="both"/>
            </w:pPr>
            <w:r>
              <w:rPr>
                <w:color w:val="000000"/>
              </w:rPr>
              <w:t>Sprint planning agenda was under-specified</w:t>
            </w:r>
          </w:p>
        </w:tc>
        <w:tc>
          <w:tcPr>
            <w:tcW w:w="3350" w:type="dxa"/>
            <w:tcMar>
              <w:top w:w="100" w:type="dxa"/>
              <w:left w:w="120" w:type="dxa"/>
              <w:bottom w:w="100" w:type="dxa"/>
              <w:right w:w="120" w:type="dxa"/>
            </w:tcMar>
          </w:tcPr>
          <w:p w14:paraId="4E4E020C" w14:textId="77777777" w:rsidR="005D7CE9" w:rsidRDefault="00000000" w:rsidP="008911D1">
            <w:pPr>
              <w:jc w:val="both"/>
            </w:pPr>
            <w:r>
              <w:rPr>
                <w:color w:val="000000"/>
              </w:rPr>
              <w:t>The Week 3 roadmap stated a duration (30 minutes) without a breakdown of what happens within it</w:t>
            </w:r>
          </w:p>
        </w:tc>
        <w:tc>
          <w:tcPr>
            <w:tcW w:w="3300" w:type="dxa"/>
            <w:tcMar>
              <w:top w:w="100" w:type="dxa"/>
              <w:left w:w="120" w:type="dxa"/>
              <w:bottom w:w="100" w:type="dxa"/>
              <w:right w:w="120" w:type="dxa"/>
            </w:tcMar>
          </w:tcPr>
          <w:p w14:paraId="21B1678B" w14:textId="77777777" w:rsidR="005D7CE9" w:rsidRDefault="00000000" w:rsidP="008911D1">
            <w:pPr>
              <w:jc w:val="both"/>
            </w:pPr>
            <w:r>
              <w:rPr>
                <w:color w:val="000000"/>
              </w:rPr>
              <w:t>Future sprint-planning definitions should specify not just duration but a minute-by-minute agenda, as corrected in Section 2.2 of this document</w:t>
            </w:r>
          </w:p>
        </w:tc>
      </w:tr>
    </w:tbl>
    <w:p w14:paraId="3A204534" w14:textId="77777777" w:rsidR="005D7CE9" w:rsidRDefault="00000000">
      <w:pPr>
        <w:pStyle w:val="Heading1"/>
        <w:pageBreakBefore/>
        <w:spacing w:before="360" w:after="200"/>
      </w:pPr>
      <w:bookmarkStart w:id="11" w:name="_Toc239074741"/>
      <w:r>
        <w:lastRenderedPageBreak/>
        <w:t>8. Conclusion</w:t>
      </w:r>
      <w:bookmarkEnd w:id="11"/>
    </w:p>
    <w:p w14:paraId="030BA879" w14:textId="77777777" w:rsidR="005D7CE9" w:rsidRDefault="00000000" w:rsidP="008911D1">
      <w:pPr>
        <w:spacing w:after="200"/>
        <w:jc w:val="both"/>
      </w:pPr>
      <w:r>
        <w:t xml:space="preserve">Across six weeks, </w:t>
      </w:r>
      <w:proofErr w:type="spellStart"/>
      <w:r>
        <w:t>PocketLedger</w:t>
      </w:r>
      <w:proofErr w:type="spellEnd"/>
      <w:r>
        <w:t xml:space="preserve"> progressed from a requirements document to a fully specified, self-consistent set of architecture, roadmap, testing, review, and now retrospective documents. The clearest evidence of design coherence is that the same worked example (an ₹1,200 expense crossing an 80% budget threshold) remained useful from Week 2 through Week 5 without needing to be replaced, and that the same defect (the 0.7999-vs-0.8 threshold bug) could be traced consistently through the test case that would catch it (Week 4), the debugging process that would resolve it (Week 5), and the KPI that predicts it (Section 3 of this document). This final evaluation closes three gaps directly identified in prior feedback — a missing security analysis, insufficiently concrete metrics analysis, and under-specified time estimates — and proposes a four-phase future roadmap sequenced entirely from features and technical debt that were deliberately, not accidentally, deferred earlier in the project.</w:t>
      </w:r>
    </w:p>
    <w:sectPr w:rsidR="005D7CE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66BE1"/>
    <w:multiLevelType w:val="hybridMultilevel"/>
    <w:tmpl w:val="83EC874E"/>
    <w:lvl w:ilvl="0" w:tplc="544ECAF4">
      <w:start w:val="1"/>
      <w:numFmt w:val="bullet"/>
      <w:lvlText w:val="●"/>
      <w:lvlJc w:val="left"/>
      <w:pPr>
        <w:ind w:left="720" w:hanging="360"/>
      </w:pPr>
    </w:lvl>
    <w:lvl w:ilvl="1" w:tplc="8FFE7A20">
      <w:start w:val="1"/>
      <w:numFmt w:val="bullet"/>
      <w:lvlText w:val="○"/>
      <w:lvlJc w:val="left"/>
      <w:pPr>
        <w:ind w:left="1440" w:hanging="360"/>
      </w:pPr>
    </w:lvl>
    <w:lvl w:ilvl="2" w:tplc="7C2AD2B4">
      <w:start w:val="1"/>
      <w:numFmt w:val="bullet"/>
      <w:lvlText w:val="■"/>
      <w:lvlJc w:val="left"/>
      <w:pPr>
        <w:ind w:left="2160" w:hanging="360"/>
      </w:pPr>
    </w:lvl>
    <w:lvl w:ilvl="3" w:tplc="D3B6A1B4">
      <w:start w:val="1"/>
      <w:numFmt w:val="bullet"/>
      <w:lvlText w:val="●"/>
      <w:lvlJc w:val="left"/>
      <w:pPr>
        <w:ind w:left="2880" w:hanging="360"/>
      </w:pPr>
    </w:lvl>
    <w:lvl w:ilvl="4" w:tplc="2720657E">
      <w:start w:val="1"/>
      <w:numFmt w:val="bullet"/>
      <w:lvlText w:val="○"/>
      <w:lvlJc w:val="left"/>
      <w:pPr>
        <w:ind w:left="3600" w:hanging="360"/>
      </w:pPr>
    </w:lvl>
    <w:lvl w:ilvl="5" w:tplc="035C4D64">
      <w:start w:val="1"/>
      <w:numFmt w:val="bullet"/>
      <w:lvlText w:val="■"/>
      <w:lvlJc w:val="left"/>
      <w:pPr>
        <w:ind w:left="4320" w:hanging="360"/>
      </w:pPr>
    </w:lvl>
    <w:lvl w:ilvl="6" w:tplc="61545532">
      <w:start w:val="1"/>
      <w:numFmt w:val="bullet"/>
      <w:lvlText w:val="●"/>
      <w:lvlJc w:val="left"/>
      <w:pPr>
        <w:ind w:left="5040" w:hanging="360"/>
      </w:pPr>
    </w:lvl>
    <w:lvl w:ilvl="7" w:tplc="F410CC0A">
      <w:start w:val="1"/>
      <w:numFmt w:val="bullet"/>
      <w:lvlText w:val="●"/>
      <w:lvlJc w:val="left"/>
      <w:pPr>
        <w:ind w:left="5760" w:hanging="360"/>
      </w:pPr>
    </w:lvl>
    <w:lvl w:ilvl="8" w:tplc="1D2EE424">
      <w:start w:val="1"/>
      <w:numFmt w:val="bullet"/>
      <w:lvlText w:val="●"/>
      <w:lvlJc w:val="left"/>
      <w:pPr>
        <w:ind w:left="6480" w:hanging="360"/>
      </w:pPr>
    </w:lvl>
  </w:abstractNum>
  <w:abstractNum w:abstractNumId="1" w15:restartNumberingAfterBreak="0">
    <w:nsid w:val="30A016AC"/>
    <w:multiLevelType w:val="hybridMultilevel"/>
    <w:tmpl w:val="EE9204EA"/>
    <w:lvl w:ilvl="0" w:tplc="CDAA98FA">
      <w:start w:val="1"/>
      <w:numFmt w:val="bullet"/>
      <w:lvlText w:val="•"/>
      <w:lvlJc w:val="left"/>
      <w:pPr>
        <w:ind w:left="720" w:hanging="360"/>
      </w:pPr>
    </w:lvl>
    <w:lvl w:ilvl="1" w:tplc="2644891C">
      <w:numFmt w:val="decimal"/>
      <w:lvlText w:val=""/>
      <w:lvlJc w:val="left"/>
    </w:lvl>
    <w:lvl w:ilvl="2" w:tplc="6FBE6DB0">
      <w:numFmt w:val="decimal"/>
      <w:lvlText w:val=""/>
      <w:lvlJc w:val="left"/>
    </w:lvl>
    <w:lvl w:ilvl="3" w:tplc="593CA85C">
      <w:numFmt w:val="decimal"/>
      <w:lvlText w:val=""/>
      <w:lvlJc w:val="left"/>
    </w:lvl>
    <w:lvl w:ilvl="4" w:tplc="3BA47A72">
      <w:numFmt w:val="decimal"/>
      <w:lvlText w:val=""/>
      <w:lvlJc w:val="left"/>
    </w:lvl>
    <w:lvl w:ilvl="5" w:tplc="CEE4761A">
      <w:numFmt w:val="decimal"/>
      <w:lvlText w:val=""/>
      <w:lvlJc w:val="left"/>
    </w:lvl>
    <w:lvl w:ilvl="6" w:tplc="5B761B40">
      <w:numFmt w:val="decimal"/>
      <w:lvlText w:val=""/>
      <w:lvlJc w:val="left"/>
    </w:lvl>
    <w:lvl w:ilvl="7" w:tplc="E59AC0E6">
      <w:numFmt w:val="decimal"/>
      <w:lvlText w:val=""/>
      <w:lvlJc w:val="left"/>
    </w:lvl>
    <w:lvl w:ilvl="8" w:tplc="B92C3FB6">
      <w:numFmt w:val="decimal"/>
      <w:lvlText w:val=""/>
      <w:lvlJc w:val="left"/>
    </w:lvl>
  </w:abstractNum>
  <w:num w:numId="1" w16cid:durableId="8046157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CE9"/>
    <w:rsid w:val="0017380F"/>
    <w:rsid w:val="005D7CE9"/>
    <w:rsid w:val="008911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E5A9F"/>
  <w15:docId w15:val="{8854D9F8-B793-4ABC-B5BB-2AD53E614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911D1"/>
    <w:pPr>
      <w:spacing w:after="100"/>
    </w:pPr>
  </w:style>
  <w:style w:type="paragraph" w:styleId="TOC2">
    <w:name w:val="toc 2"/>
    <w:basedOn w:val="Normal"/>
    <w:next w:val="Normal"/>
    <w:autoRedefine/>
    <w:uiPriority w:val="39"/>
    <w:unhideWhenUsed/>
    <w:rsid w:val="008911D1"/>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2260</Words>
  <Characters>12888</Characters>
  <Application>Microsoft Office Word</Application>
  <DocSecurity>0</DocSecurity>
  <Lines>107</Lines>
  <Paragraphs>30</Paragraphs>
  <ScaleCrop>false</ScaleCrop>
  <Company/>
  <LinksUpToDate>false</LinksUpToDate>
  <CharactersWithSpaces>15118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varsha j samarth</cp:lastModifiedBy>
  <cp:revision>2</cp:revision>
  <dcterms:created xsi:type="dcterms:W3CDTF">2026-08-31T07:43:00Z</dcterms:created>
  <dcterms:modified xsi:type="dcterms:W3CDTF">2026-08-31T07:53:00Z</dcterms:modified>
</cp:coreProperties>
</file>