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8"/>
          <w:szCs w:val="28"/>
        </w:rPr>
        <w:t xml:space="preserve">Project Design Phase</w:t>
      </w:r>
    </w:p>
    <w:p>
      <w:pPr>
        <w:spacing w:after="240"/>
        <w:jc w:val="center"/>
      </w:pPr>
      <w:r>
        <w:rPr>
          <w:rFonts w:ascii="Calibri" w:cs="Calibri" w:eastAsia="Calibri" w:hAnsi="Calibri"/>
          <w:b/>
          <w:bCs/>
          <w:sz w:val="28"/>
          <w:szCs w:val="28"/>
        </w:rPr>
        <w:t xml:space="preserve">Proposed Solution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sz w:val="22"/>
                <w:szCs w:val="22"/>
              </w:rPr>
              <w:t xml:space="preserve">Date</w:t>
            </w:r>
          </w:p>
        </w:tc>
        <w:tc>
          <w:tcPr>
            <w:tcW w:type="dxa" w:w="4513"/>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sz w:val="22"/>
                <w:szCs w:val="22"/>
              </w:rPr>
              <w:t xml:space="preserve">15 February 2025</w:t>
            </w:r>
          </w:p>
        </w:tc>
      </w:tr>
      <w:tr>
        <w:tc>
          <w:tcPr>
            <w:tcW w:type="dxa" w:w="4513"/>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sz w:val="22"/>
                <w:szCs w:val="22"/>
              </w:rPr>
              <w:t xml:space="preserve">Team ID</w:t>
            </w:r>
          </w:p>
        </w:tc>
        <w:tc>
          <w:tcPr>
            <w:tcW w:type="dxa" w:w="4513"/>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sz w:val="22"/>
                <w:szCs w:val="22"/>
              </w:rPr>
              <w:t xml:space="preserve"/>
            </w:r>
          </w:p>
        </w:tc>
      </w:tr>
      <w:tr>
        <w:tc>
          <w:tcPr>
            <w:tcW w:type="dxa" w:w="4513"/>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sz w:val="22"/>
                <w:szCs w:val="22"/>
              </w:rPr>
              <w:t xml:space="preserve">Project Name</w:t>
            </w:r>
          </w:p>
        </w:tc>
        <w:tc>
          <w:tcPr>
            <w:tcW w:type="dxa" w:w="4513"/>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sz w:val="22"/>
                <w:szCs w:val="22"/>
              </w:rPr>
              <w:t xml:space="preserve">Importing &amp; Securing Data in ServiceNow</w:t>
            </w:r>
          </w:p>
        </w:tc>
      </w:tr>
      <w:tr>
        <w:tc>
          <w:tcPr>
            <w:tcW w:type="dxa" w:w="4513"/>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sz w:val="22"/>
                <w:szCs w:val="22"/>
              </w:rPr>
              <w:t xml:space="preserve">Maximum Marks</w:t>
            </w:r>
          </w:p>
        </w:tc>
        <w:tc>
          <w:tcPr>
            <w:tcW w:type="dxa" w:w="4513"/>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sz w:val="22"/>
                <w:szCs w:val="22"/>
              </w:rPr>
              <w:t xml:space="preserve">2 Marks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Proposed Solution Template:</w:t>
      </w:r>
    </w:p>
    <w:p>
      <w:pPr>
        <w:spacing w:after="120"/>
      </w:pPr>
      <w:r>
        <w:rPr>
          <w:rFonts w:ascii="Calibri" w:cs="Calibri" w:eastAsia="Calibri" w:hAnsi="Calibri"/>
          <w:sz w:val="22"/>
          <w:szCs w:val="22"/>
        </w:rPr>
        <w:t xml:space="preserve">Project team shall fill the following information in the proposed solution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tcBorders>
              <w:top w:val="single" w:color="000000" w:sz="6"/>
              <w:left w:val="single" w:color="000000" w:sz="6"/>
              <w:bottom w:val="single" w:color="000000" w:sz="6"/>
              <w:right w:val="single" w:color="000000" w:sz="6"/>
            </w:tcBorders>
            <w:shd w:fill="D9E2F3" w:color="auto" w:val="clear"/>
            <w:tcMar>
              <w:top w:type="dxa" w:w="80"/>
              <w:left w:type="dxa" w:w="110"/>
              <w:bottom w:type="dxa" w:w="80"/>
              <w:right w:type="dxa" w:w="110"/>
            </w:tcMar>
          </w:tcPr>
          <w:p>
            <w:pPr>
              <w:spacing w:after="0"/>
            </w:pPr>
            <w:r>
              <w:rPr>
                <w:rFonts w:ascii="Calibri" w:cs="Calibri" w:eastAsia="Calibri" w:hAnsi="Calibri"/>
                <w:b/>
                <w:bCs/>
                <w:sz w:val="22"/>
                <w:szCs w:val="22"/>
              </w:rPr>
              <w:t xml:space="preserve">S.No.</w:t>
            </w:r>
          </w:p>
        </w:tc>
        <w:tc>
          <w:tcPr>
            <w:tcW w:type="dxa" w:w="2600"/>
            <w:tcBorders>
              <w:top w:val="single" w:color="000000" w:sz="6"/>
              <w:left w:val="single" w:color="000000" w:sz="6"/>
              <w:bottom w:val="single" w:color="000000" w:sz="6"/>
              <w:right w:val="single" w:color="000000" w:sz="6"/>
            </w:tcBorders>
            <w:shd w:fill="D9E2F3" w:color="auto" w:val="clear"/>
            <w:tcMar>
              <w:top w:type="dxa" w:w="80"/>
              <w:left w:type="dxa" w:w="110"/>
              <w:bottom w:type="dxa" w:w="80"/>
              <w:right w:type="dxa" w:w="110"/>
            </w:tcMar>
          </w:tcPr>
          <w:p>
            <w:pPr>
              <w:spacing w:after="0"/>
            </w:pPr>
            <w:r>
              <w:rPr>
                <w:rFonts w:ascii="Calibri" w:cs="Calibri" w:eastAsia="Calibri" w:hAnsi="Calibri"/>
                <w:b/>
                <w:bCs/>
                <w:sz w:val="22"/>
                <w:szCs w:val="22"/>
              </w:rPr>
              <w:t xml:space="preserve">Parameter</w:t>
            </w:r>
          </w:p>
        </w:tc>
        <w:tc>
          <w:tcPr>
            <w:tcW w:type="dxa" w:w="5626"/>
            <w:tcBorders>
              <w:top w:val="single" w:color="000000" w:sz="6"/>
              <w:left w:val="single" w:color="000000" w:sz="6"/>
              <w:bottom w:val="single" w:color="000000" w:sz="6"/>
              <w:right w:val="single" w:color="000000" w:sz="6"/>
            </w:tcBorders>
            <w:shd w:fill="D9E2F3" w:color="auto" w:val="clear"/>
            <w:tcMar>
              <w:top w:type="dxa" w:w="80"/>
              <w:left w:type="dxa" w:w="110"/>
              <w:bottom w:type="dxa" w:w="80"/>
              <w:right w:type="dxa" w:w="110"/>
            </w:tcMar>
          </w:tcPr>
          <w:p>
            <w:pPr>
              <w:spacing w:after="0"/>
            </w:pPr>
            <w:r>
              <w:rPr>
                <w:rFonts w:ascii="Calibri" w:cs="Calibri" w:eastAsia="Calibri" w:hAnsi="Calibri"/>
                <w:b/>
                <w:bCs/>
                <w:sz w:val="22"/>
                <w:szCs w:val="22"/>
              </w:rPr>
              <w:t xml:space="preserve">Description</w:t>
            </w:r>
          </w:p>
        </w:tc>
      </w:tr>
      <w:tr>
        <w:tc>
          <w:tcPr>
            <w:tcW w:type="dxa" w:w="8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1.</w:t>
            </w:r>
          </w:p>
        </w:tc>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bCs/>
                <w:sz w:val="22"/>
                <w:szCs w:val="22"/>
              </w:rPr>
              <w:t xml:space="preserve">Problem Statement (Problem to be solved)</w:t>
            </w:r>
          </w:p>
        </w:tc>
        <w:tc>
          <w:tcPr>
            <w:tcW w:type="dxa" w:w="5626"/>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Employee training records are kept in spreadsheets and are not linked to employee profiles, so department details must be copied by hand and reporting is slow and error-prone. There are also no access rules, so anyone with platform access could view or edit the data.</w:t>
            </w:r>
          </w:p>
        </w:tc>
      </w:tr>
      <w:tr>
        <w:tc>
          <w:tcPr>
            <w:tcW w:type="dxa" w:w="8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2.</w:t>
            </w:r>
          </w:p>
        </w:tc>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bCs/>
                <w:sz w:val="22"/>
                <w:szCs w:val="22"/>
              </w:rPr>
              <w:t xml:space="preserve">Idea / Solution description</w:t>
            </w:r>
          </w:p>
        </w:tc>
        <w:tc>
          <w:tcPr>
            <w:tcW w:type="dxa" w:w="5626"/>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Build a custom ServiceNow table (Employee Training Records) with an Employee reference field to sys_user. Bulk-import the Excel data using Import Sets and a Transform Map. Use dot-walking to show Employee &gt; Department on the form and list. Create an HR Manager role and read and write ACLs on the table, restrict the application menu and modules to that role, and verify access by impersonating an authorized and an unauthorized user.</w:t>
            </w:r>
          </w:p>
        </w:tc>
      </w:tr>
      <w:tr>
        <w:tc>
          <w:tcPr>
            <w:tcW w:type="dxa" w:w="8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3.</w:t>
            </w:r>
          </w:p>
        </w:tc>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bCs/>
                <w:sz w:val="22"/>
                <w:szCs w:val="22"/>
              </w:rPr>
              <w:t xml:space="preserve">Novelty / Uniqueness</w:t>
            </w:r>
          </w:p>
        </w:tc>
        <w:tc>
          <w:tcPr>
            <w:tcW w:type="dxa" w:w="5626"/>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Combines bulk import, automatic employee details through dot-walking (no duplicated data) and role-based ACL security in one native ServiceNow solution, with no custom code or external tools.</w:t>
            </w:r>
          </w:p>
        </w:tc>
      </w:tr>
      <w:tr>
        <w:tc>
          <w:tcPr>
            <w:tcW w:type="dxa" w:w="8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4.</w:t>
            </w:r>
          </w:p>
        </w:tc>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bCs/>
                <w:sz w:val="22"/>
                <w:szCs w:val="22"/>
              </w:rPr>
              <w:t xml:space="preserve">Social Impact / Customer Satisfaction</w:t>
            </w:r>
          </w:p>
        </w:tc>
        <w:tc>
          <w:tcPr>
            <w:tcW w:type="dxa" w:w="5626"/>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HR teams save time and avoid manual errors, get faster department-wise reports, and employee data is protected from unauthorized viewing, which builds trust and supports privacy compliance.</w:t>
            </w:r>
          </w:p>
        </w:tc>
      </w:tr>
      <w:tr>
        <w:tc>
          <w:tcPr>
            <w:tcW w:type="dxa" w:w="8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5.</w:t>
            </w:r>
          </w:p>
        </w:tc>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bCs/>
                <w:sz w:val="22"/>
                <w:szCs w:val="22"/>
              </w:rPr>
              <w:t xml:space="preserve">Business Model (Revenue Model)</w:t>
            </w:r>
          </w:p>
        </w:tc>
        <w:tc>
          <w:tcPr>
            <w:tcW w:type="dxa" w:w="5626"/>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An internal-use solution on an existing ServiceNow instance, so there is no direct revenue. Value comes from saved effort, fewer errors and reduced compliance risk. It could be offered as a reusable template or service by a ServiceNow partner.</w:t>
            </w:r>
          </w:p>
        </w:tc>
      </w:tr>
      <w:tr>
        <w:tc>
          <w:tcPr>
            <w:tcW w:type="dxa" w:w="8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6.</w:t>
            </w:r>
          </w:p>
        </w:tc>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bCs/>
                <w:sz w:val="22"/>
                <w:szCs w:val="22"/>
              </w:rPr>
              <w:t xml:space="preserve">Scalability of the Solution</w:t>
            </w:r>
          </w:p>
        </w:tc>
        <w:tc>
          <w:tcPr>
            <w:tcW w:type="dxa" w:w="5626"/>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pPr>
            <w:r>
              <w:rPr>
                <w:rFonts w:ascii="Calibri" w:cs="Calibri" w:eastAsia="Calibri" w:hAnsi="Calibri"/>
                <w:b w:val="false"/>
                <w:bCs w:val="false"/>
                <w:sz w:val="22"/>
                <w:szCs w:val="22"/>
              </w:rPr>
              <w:t xml:space="preserve">More records can be added through repeated imports or scheduled imports, and more users can be given access by assigning the HR Manager role. The same pattern (table, import, dot-walk, ACL) can be reused for other HR datasets such as certifications or onboarding.</w:t>
            </w:r>
          </w:p>
        </w:tc>
      </w:tr>
    </w:tbl>
    <w:sectPr>
      <w:pgSz w:w="11906" w:h="16838" w:orient="portrait"/>
      <w:pgMar w:top="900" w:right="1300" w:bottom="7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2026-10-03T07:26:06.651Z</dcterms:created>
  <dcterms:modified xsi:type="dcterms:W3CDTF">2026-10-03T07:26:06.651Z</dcterms:modified>
</cp:coreProperties>
</file>

<file path=docProps/custom.xml><?xml version="1.0" encoding="utf-8"?>
<Properties xmlns="http://schemas.openxmlformats.org/officeDocument/2006/custom-properties" xmlns:vt="http://schemas.openxmlformats.org/officeDocument/2006/docPropsVTypes"/>
</file>