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6F7A7A">
        <w:rPr>
          <w:rFonts w:cs="Calibri"/>
          <w:sz w:val="23"/>
          <w:szCs w:val="23"/>
        </w:rPr>
        <w:t>R1.4</w:t>
      </w:r>
      <w:r w:rsidR="00540648" w:rsidRPr="006F7A7A">
        <w:rPr>
          <w:rFonts w:cs="Calibri"/>
          <w:sz w:val="23"/>
          <w:szCs w:val="23"/>
        </w:rPr>
        <w:t xml:space="preserve"> </w:t>
      </w:r>
      <w:r w:rsidR="00540648" w:rsidRPr="006F7A7A">
        <w:rPr>
          <w:rFonts w:cs="Calibri"/>
          <w:color w:val="000000"/>
          <w:sz w:val="23"/>
          <w:szCs w:val="23"/>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r w:rsidRPr="007B6BF8">
        <w:rPr>
          <w:rFonts w:asciiTheme="minorHAnsi" w:hAnsiTheme="minorHAnsi" w:cs="Calibri"/>
          <w:sz w:val="23"/>
          <w:szCs w:val="23"/>
          <w:highlight w:val="yellow"/>
        </w:rPr>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bookmarkStart w:id="0" w:name="_GoBack"/>
      <w:r w:rsidRPr="006F7A7A">
        <w:rPr>
          <w:rFonts w:asciiTheme="minorHAnsi" w:hAnsiTheme="minorHAnsi" w:cs="Calibri"/>
          <w:sz w:val="23"/>
          <w:szCs w:val="23"/>
          <w:highlight w:val="yellow"/>
        </w:rPr>
        <w:t xml:space="preserve">R3.3 Students should be able to customize the purpose of appointment regardless of </w:t>
      </w:r>
      <w:r w:rsidR="00F416AB" w:rsidRPr="006F7A7A">
        <w:rPr>
          <w:rFonts w:asciiTheme="minorHAnsi" w:hAnsiTheme="minorHAnsi" w:cs="Calibri"/>
          <w:sz w:val="23"/>
          <w:szCs w:val="23"/>
          <w:highlight w:val="yellow"/>
        </w:rPr>
        <w:t xml:space="preserve">            </w:t>
      </w:r>
      <w:r w:rsidRPr="006F7A7A">
        <w:rPr>
          <w:rFonts w:asciiTheme="minorHAnsi" w:hAnsiTheme="minorHAnsi" w:cs="Calibri"/>
          <w:sz w:val="23"/>
          <w:szCs w:val="23"/>
          <w:highlight w:val="yellow"/>
        </w:rPr>
        <w:t>adding, dropping, swapping classes.</w:t>
      </w:r>
    </w:p>
    <w:bookmarkEnd w:id="0"/>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230B78"/>
    <w:rsid w:val="00312C2F"/>
    <w:rsid w:val="003D29D4"/>
    <w:rsid w:val="003E5491"/>
    <w:rsid w:val="00485FDD"/>
    <w:rsid w:val="00497B74"/>
    <w:rsid w:val="00540648"/>
    <w:rsid w:val="00577BC5"/>
    <w:rsid w:val="005C1445"/>
    <w:rsid w:val="00690C84"/>
    <w:rsid w:val="006A5F84"/>
    <w:rsid w:val="006F7A7A"/>
    <w:rsid w:val="00725820"/>
    <w:rsid w:val="007B6BF8"/>
    <w:rsid w:val="007C4F1D"/>
    <w:rsid w:val="007D7683"/>
    <w:rsid w:val="008B752D"/>
    <w:rsid w:val="008E677D"/>
    <w:rsid w:val="009811A9"/>
    <w:rsid w:val="009E0588"/>
    <w:rsid w:val="00A26169"/>
    <w:rsid w:val="00A56B8A"/>
    <w:rsid w:val="00B47A11"/>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080A5-08C9-4951-B4C4-043943CF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14</cp:revision>
  <dcterms:created xsi:type="dcterms:W3CDTF">2016-04-06T21:40:00Z</dcterms:created>
  <dcterms:modified xsi:type="dcterms:W3CDTF">2016-04-23T05:30:00Z</dcterms:modified>
</cp:coreProperties>
</file>