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Retail</w:t>
      </w:r>
    </w:p>
    <w:p>
      <w:pPr>
        <w:pStyle w:val="Heading2"/>
      </w:pPr>
      <w:r>
        <w:t>Quarterly Business Review (Q2 FY26)</w:t>
      </w:r>
    </w:p>
    <w:p>
      <w:r>
        <w:t>Prepared for: Executive Leadership Team</w:t>
        <w:br/>
        <w:t>Prepared by: Regional Operations</w:t>
        <w:br/>
        <w:t>Date: July 2026</w:t>
      </w:r>
    </w:p>
    <w:p>
      <w:pPr>
        <w:pStyle w:val="Heading2"/>
      </w:pPr>
      <w:r>
        <w:t>Executive Summary</w:t>
      </w:r>
    </w:p>
    <w:p>
      <w:r>
        <w:t>(To be generated using Microsoft 365 Copilot.)</w:t>
      </w:r>
    </w:p>
    <w:p>
      <w:pPr>
        <w:pStyle w:val="Heading2"/>
      </w:pPr>
      <w:r>
        <w:t>Revenue Performance</w:t>
      </w:r>
    </w:p>
    <w:p/>
    <w:p>
      <w:pPr>
        <w:pStyle w:val="Heading2"/>
      </w:pPr>
      <w:r>
        <w:t>Regional Highlights</w:t>
      </w:r>
    </w:p>
    <w:p/>
    <w:p>
      <w:pPr>
        <w:pStyle w:val="Heading2"/>
      </w:pPr>
      <w:r>
        <w:t>Key Risks</w:t>
      </w:r>
    </w:p>
    <w:p/>
    <w:p>
      <w:pPr>
        <w:pStyle w:val="Heading2"/>
      </w:pPr>
      <w:r>
        <w:t>Recommendations</w:t>
      </w:r>
    </w:p>
    <w:p/>
    <w:p>
      <w:pPr>
        <w:pStyle w:val="Heading2"/>
      </w:pPr>
      <w:r>
        <w:t>Next Quarter Priorities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3105EE-492C-4602-A1BB-4D6E9C074B36}"/>
</file>

<file path=customXml/itemProps3.xml><?xml version="1.0" encoding="utf-8"?>
<ds:datastoreItem xmlns:ds="http://schemas.openxmlformats.org/officeDocument/2006/customXml" ds:itemID="{0754BC6E-EED1-4CE2-A790-A104DA374D25}"/>
</file>

<file path=customXml/itemProps4.xml><?xml version="1.0" encoding="utf-8"?>
<ds:datastoreItem xmlns:ds="http://schemas.openxmlformats.org/officeDocument/2006/customXml" ds:itemID="{B2A9DA09-861C-47ED-B422-B56803D1EB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