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83A6">
      <w:pPr>
        <w:pStyle w:val="38"/>
        <w:jc w:val="center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Business Summary Report: Predictive Insights for Collections Strategy</w:t>
      </w:r>
    </w:p>
    <w:p w14:paraId="2F4337BF">
      <w:pPr>
        <w:pStyle w:val="2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Summary of Predictive Insights</w:t>
      </w:r>
    </w:p>
    <w:p w14:paraId="42F0810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1"/>
          <w:szCs w:val="21"/>
        </w:rPr>
      </w:pPr>
      <w:r>
        <w:rPr>
          <w:rFonts w:hint="default" w:ascii="Arial Regular" w:hAnsi="Arial Regular" w:eastAsia="SimSun" w:cs="Arial Regular"/>
          <w:kern w:val="0"/>
          <w:sz w:val="21"/>
          <w:szCs w:val="21"/>
          <w:lang w:val="en-US" w:eastAsia="zh-CN" w:bidi="ar"/>
        </w:rPr>
        <w:t>Based on the analysis of Geldium’s dataset and the development of the Random Forest predictive model, several high-risk patterns have emerged. The model indicates that delinquency is not tied to a single factor but is a result of compounding financial stressors.</w:t>
      </w:r>
    </w:p>
    <w:p w14:paraId="6DA7404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 Regular" w:hAnsi="Arial Regular" w:eastAsia="SimSun" w:cs="Arial Regular"/>
          <w:b w:val="0"/>
          <w:bCs/>
          <w:kern w:val="0"/>
          <w:sz w:val="21"/>
          <w:szCs w:val="21"/>
          <w:lang w:val="en-US" w:eastAsia="zh-CN" w:bidi="ar"/>
        </w:rPr>
        <w:t>High-Risk Customer Segments:</w:t>
      </w:r>
      <w:r>
        <w:rPr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 xml:space="preserve"> The most vulnerable segment consists of customers with </w:t>
      </w:r>
      <w:r>
        <w:rPr>
          <w:rFonts w:hint="default" w:ascii="Arial Regular" w:hAnsi="Arial Regular" w:eastAsia="SimSun" w:cs="Arial Regular"/>
          <w:b w:val="0"/>
          <w:bCs/>
          <w:kern w:val="0"/>
          <w:sz w:val="21"/>
          <w:szCs w:val="21"/>
          <w:lang w:val="en-US" w:eastAsia="zh-CN" w:bidi="ar"/>
        </w:rPr>
        <w:t>high credit utilization (&gt;70%)</w:t>
      </w:r>
      <w:r>
        <w:rPr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 xml:space="preserve"> combined with a history of </w:t>
      </w:r>
      <w:r>
        <w:rPr>
          <w:rFonts w:hint="default" w:ascii="Arial Regular" w:hAnsi="Arial Regular" w:eastAsia="SimSun" w:cs="Arial Regular"/>
          <w:b w:val="0"/>
          <w:bCs/>
          <w:kern w:val="0"/>
          <w:sz w:val="21"/>
          <w:szCs w:val="21"/>
          <w:lang w:val="en-US" w:eastAsia="zh-CN" w:bidi="ar"/>
        </w:rPr>
        <w:t>2+ missed payments</w:t>
      </w:r>
      <w:r>
        <w:rPr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 xml:space="preserve"> in the last six months. These individuals often show a "Late" to "Missed" transition in their recent payment history (</w:t>
      </w:r>
      <w:r>
        <w:rPr>
          <w:rStyle w:val="20"/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>Month_5</w:t>
      </w:r>
      <w:r>
        <w:rPr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 xml:space="preserve"> and </w:t>
      </w:r>
      <w:r>
        <w:rPr>
          <w:rStyle w:val="20"/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>Month_6</w:t>
      </w:r>
      <w:r>
        <w:rPr>
          <w:rFonts w:hint="default" w:ascii="Arial Regular" w:hAnsi="Arial Regular" w:eastAsia="SimSun" w:cs="Arial Regular"/>
          <w:b w:val="0"/>
          <w:kern w:val="0"/>
          <w:sz w:val="21"/>
          <w:szCs w:val="21"/>
          <w:lang w:val="en-US" w:eastAsia="zh-CN" w:bidi="ar"/>
        </w:rPr>
        <w:t>), signaling an imminent liquidity crisis.</w:t>
      </w:r>
    </w:p>
    <w:p w14:paraId="60F471F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12"/>
        <w:gridCol w:w="1488"/>
        <w:gridCol w:w="3883"/>
        <w:gridCol w:w="2217"/>
      </w:tblGrid>
      <w:tr w14:paraId="36311A05">
        <w:trPr>
          <w:trHeight w:val="332" w:hRule="atLeast"/>
        </w:trPr>
        <w:tc>
          <w:tcPr>
            <w:tcW w:w="6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CD6A7E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Key Insight</w:t>
            </w:r>
          </w:p>
        </w:tc>
        <w:tc>
          <w:tcPr>
            <w:tcW w:w="85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1F469F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Customer Segment</w:t>
            </w:r>
          </w:p>
        </w:tc>
        <w:tc>
          <w:tcPr>
            <w:tcW w:w="223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891034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Influencing Variables</w:t>
            </w:r>
          </w:p>
        </w:tc>
        <w:tc>
          <w:tcPr>
            <w:tcW w:w="1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E380553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Potential Impact</w:t>
            </w:r>
          </w:p>
        </w:tc>
      </w:tr>
      <w:tr w14:paraId="4217145F">
        <w:trPr>
          <w:trHeight w:val="782" w:hRule="atLeast"/>
        </w:trPr>
        <w:tc>
          <w:tcPr>
            <w:tcW w:w="63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4BFF5A1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Early Warning Sign</w:t>
            </w:r>
          </w:p>
          <w:p w14:paraId="15915B67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Income Volatility</w:t>
            </w:r>
          </w:p>
        </w:tc>
        <w:tc>
          <w:tcPr>
            <w:tcW w:w="85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33EE3BA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Revolving</w:t>
            </w: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Debtors</w:t>
            </w:r>
          </w:p>
          <w:p w14:paraId="4001C94E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Self-Employed / Unemployed</w:t>
            </w:r>
          </w:p>
        </w:tc>
        <w:tc>
          <w:tcPr>
            <w:tcW w:w="223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EB31FED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Credit_Utilization, Loan_Balance</w:t>
            </w:r>
          </w:p>
          <w:p w14:paraId="7F9B3805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</w:p>
          <w:p w14:paraId="0618D218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Employment_Status, Income</w:t>
            </w:r>
          </w:p>
        </w:tc>
        <w:tc>
          <w:tcPr>
            <w:tcW w:w="127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3E2D152">
            <w:pP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dentifying risk 60 days earlier than current methods</w:t>
            </w:r>
          </w:p>
          <w:p w14:paraId="78DC9A44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/>
                <w:color w:val="000000" w:themeColor="text1"/>
                <w:sz w:val="20"/>
                <w:szCs w:val="20"/>
                <w:lang w:val="en-GB"/>
                <w14:textFill>
                  <w14:solidFill>
                    <w14:schemeClr w14:val="tx1"/>
                  </w14:solidFill>
                </w14:textFill>
              </w:rPr>
              <w:t>Reducing losses by offering flexible payment terms..</w:t>
            </w:r>
          </w:p>
        </w:tc>
      </w:tr>
    </w:tbl>
    <w:p w14:paraId="5097863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833B3F">
      <w:pPr>
        <w:pStyle w:val="2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Recommendation Framework</w:t>
      </w:r>
    </w:p>
    <w:p w14:paraId="2CCF7542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Restated Insight: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High credit utilization combined with a recent shift from "On-time" to "Late" payments is the most accurate predictor of imminent delinquency.</w:t>
      </w:r>
    </w:p>
    <w:p w14:paraId="47B2A3F5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Proposed Recommendation:</w:t>
      </w:r>
    </w:p>
    <w:p w14:paraId="0C309679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Specific:</w:t>
      </w:r>
      <w:r>
        <w:t xml:space="preserve"> I</w:t>
      </w:r>
      <w:r>
        <w:rPr>
          <w:rFonts w:hint="default" w:ascii="Arial Regular" w:hAnsi="Arial Regular" w:cs="Arial Regular"/>
          <w:sz w:val="21"/>
          <w:szCs w:val="21"/>
        </w:rPr>
        <w:t>mplement an automated "Financial Health Outreach" program for customers who exceed 75% credit utilization and record their first "Late" payment.</w:t>
      </w:r>
    </w:p>
    <w:p w14:paraId="42D6D553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Measurable:</w:t>
      </w:r>
      <w:r>
        <w:rPr>
          <w:rFonts w:hint="default" w:ascii="Arial Regular" w:hAnsi="Arial Regular" w:cs="Arial Regular"/>
          <w:sz w:val="21"/>
          <w:szCs w:val="21"/>
        </w:rPr>
        <w:t xml:space="preserve"> Aim to reduce the transition rate from "Late" to "Delinquent" by 15% within the first six months.</w:t>
      </w:r>
    </w:p>
    <w:p w14:paraId="4D248667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Actionable: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The Collections team will send automated SMS/Email alerts offering temporary "interest-only" payment options or credit counseling referrals.</w:t>
      </w:r>
    </w:p>
    <w:p w14:paraId="54C09F23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Relevant: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This shifts the strategy from punitive debt collection to proactive loss prevention, preserving the customer relationship.</w:t>
      </w:r>
    </w:p>
    <w:p w14:paraId="1CD252C7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Time-bound: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Launch the pilot program for the "High Utilization" segment within the next 30 days.</w:t>
      </w:r>
    </w:p>
    <w:p w14:paraId="5F81E355">
      <w:pPr>
        <w:pStyle w:val="34"/>
        <w:keepNext w:val="0"/>
        <w:keepLines w:val="0"/>
        <w:widowControl/>
        <w:suppressLineNumbers w:val="0"/>
        <w:rPr>
          <w:rFonts w:hint="default" w:ascii="Arial Regular" w:hAnsi="Arial Regular" w:cs="Arial Regular"/>
          <w:sz w:val="21"/>
          <w:szCs w:val="21"/>
        </w:rPr>
      </w:pPr>
      <w:r>
        <w:rPr>
          <w:b/>
          <w:bCs/>
        </w:rPr>
        <w:t>Justification and Business Rationale: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By intervening the moment a high-utilization customer misses their first payment, Geldium can prevent the "downward spiral" into delinquency. This reduces the high costs associated with traditional collection efforts and legal recoveries while improving long-term customer retention.</w:t>
      </w:r>
    </w:p>
    <w:p w14:paraId="08E6A272">
      <w:pPr>
        <w:pStyle w:val="2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Ethical and Responsible AI Considerations</w:t>
      </w:r>
      <w:bookmarkStart w:id="0" w:name="_GoBack"/>
      <w:bookmarkEnd w:id="0"/>
    </w:p>
    <w:p w14:paraId="6D3AC4BE">
      <w:pPr>
        <w:pStyle w:val="3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To ensure the responsible use of AI in our collections strategy, we have addressed the following:</w:t>
      </w:r>
    </w:p>
    <w:p w14:paraId="4E37065E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Potential for Bias:</w:t>
      </w:r>
      <w:r>
        <w:rPr>
          <w:rFonts w:hint="default" w:ascii="Arial Regular" w:hAnsi="Arial Regular" w:cs="Arial Regular"/>
          <w:sz w:val="21"/>
          <w:szCs w:val="21"/>
        </w:rPr>
        <w:t xml:space="preserve"> 1. </w:t>
      </w:r>
      <w:r>
        <w:rPr>
          <w:rFonts w:hint="default" w:ascii="Arial Regular" w:hAnsi="Arial Regular" w:cs="Arial Regular"/>
          <w:b/>
          <w:bCs/>
          <w:sz w:val="21"/>
          <w:szCs w:val="21"/>
        </w:rPr>
        <w:t>Geographic Bias:</w:t>
      </w:r>
      <w:r>
        <w:rPr>
          <w:rFonts w:hint="default" w:ascii="Arial Regular" w:hAnsi="Arial Regular" w:cs="Arial Regular"/>
          <w:sz w:val="21"/>
          <w:szCs w:val="21"/>
        </w:rPr>
        <w:t xml:space="preserve"> The model may inadvertently flag certain </w:t>
      </w:r>
      <w:r>
        <w:rPr>
          <w:rStyle w:val="20"/>
          <w:rFonts w:hint="default" w:ascii="Arial Regular" w:hAnsi="Arial Regular" w:cs="Arial Regular"/>
          <w:sz w:val="21"/>
          <w:szCs w:val="21"/>
        </w:rPr>
        <w:t>Locations</w:t>
      </w:r>
      <w:r>
        <w:rPr>
          <w:rFonts w:hint="default" w:ascii="Arial Regular" w:hAnsi="Arial Regular" w:cs="Arial Regular"/>
          <w:sz w:val="21"/>
          <w:szCs w:val="21"/>
        </w:rPr>
        <w:t xml:space="preserve"> more frequently due to local economic downturns. </w:t>
      </w:r>
      <w:r>
        <w:rPr>
          <w:rFonts w:hint="default" w:ascii="Arial Regular" w:hAnsi="Arial Regular" w:cs="Arial Regular"/>
          <w:b/>
          <w:bCs/>
          <w:sz w:val="21"/>
          <w:szCs w:val="21"/>
        </w:rPr>
        <w:t>Mitigation:</w:t>
      </w:r>
      <w:r>
        <w:rPr>
          <w:rFonts w:hint="default" w:ascii="Arial Regular" w:hAnsi="Arial Regular" w:cs="Arial Regular"/>
          <w:sz w:val="21"/>
          <w:szCs w:val="21"/>
        </w:rPr>
        <w:t xml:space="preserve"> We will perform regular fairness audits to ensure zip codes are not used as proxies for protected demographic groups. 2. </w:t>
      </w:r>
      <w:r>
        <w:rPr>
          <w:rFonts w:hint="default" w:ascii="Arial Regular" w:hAnsi="Arial Regular" w:cs="Arial Regular"/>
          <w:b/>
          <w:bCs/>
          <w:sz w:val="21"/>
          <w:szCs w:val="21"/>
        </w:rPr>
        <w:t>Employment Bias:</w:t>
      </w:r>
      <w:r>
        <w:rPr>
          <w:rFonts w:hint="default" w:ascii="Arial Regular" w:hAnsi="Arial Regular" w:cs="Arial Regular"/>
          <w:sz w:val="21"/>
          <w:szCs w:val="21"/>
        </w:rPr>
        <w:t xml:space="preserve"> </w:t>
      </w:r>
      <w:r>
        <w:rPr>
          <w:rStyle w:val="20"/>
          <w:rFonts w:hint="default" w:ascii="Arial Regular" w:hAnsi="Arial Regular" w:cs="Arial Regular"/>
          <w:sz w:val="21"/>
          <w:szCs w:val="21"/>
        </w:rPr>
        <w:t>Self-Employed</w:t>
      </w:r>
      <w:r>
        <w:rPr>
          <w:rFonts w:hint="default" w:ascii="Arial Regular" w:hAnsi="Arial Regular" w:cs="Arial Regular"/>
          <w:sz w:val="21"/>
          <w:szCs w:val="21"/>
        </w:rPr>
        <w:t xml:space="preserve"> individuals may show higher risk scores due to irregular income. </w:t>
      </w:r>
      <w:r>
        <w:rPr>
          <w:rFonts w:hint="default" w:ascii="Arial Regular" w:hAnsi="Arial Regular" w:cs="Arial Regular"/>
          <w:b/>
          <w:bCs/>
          <w:sz w:val="21"/>
          <w:szCs w:val="21"/>
        </w:rPr>
        <w:t>Mitigation:</w:t>
      </w:r>
      <w:r>
        <w:rPr>
          <w:rFonts w:hint="default" w:ascii="Arial Regular" w:hAnsi="Arial Regular" w:cs="Arial Regular"/>
          <w:sz w:val="21"/>
          <w:szCs w:val="21"/>
        </w:rPr>
        <w:t xml:space="preserve"> The model will weigh "Payment Consistency" more heavily than "Employment Status" to ensure stability is rewarded fairly.</w:t>
      </w:r>
    </w:p>
    <w:p w14:paraId="69B6201D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Explainability:</w:t>
      </w:r>
      <w:r>
        <w:t xml:space="preserve"> </w:t>
      </w:r>
      <w:r>
        <w:rPr>
          <w:rFonts w:hint="default" w:ascii="Arial Regular" w:hAnsi="Arial Regular" w:cs="Arial Regular"/>
          <w:sz w:val="21"/>
          <w:szCs w:val="21"/>
        </w:rPr>
        <w:t>We use a "Feature Importance" framework to explain predictions. If a customer asks why they were contacted, the Collections team can provide clear reasons, such as "Your recent increase in credit use combined with a missed payment triggered this support alert."</w:t>
      </w:r>
    </w:p>
    <w:p w14:paraId="70966FC4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Responsible Decision-Making:</w:t>
      </w:r>
      <w:r>
        <w:rPr>
          <w:rFonts w:hint="default" w:ascii="Arial Regular" w:hAnsi="Arial Regular" w:cs="Arial Regular"/>
          <w:sz w:val="21"/>
          <w:szCs w:val="21"/>
        </w:rPr>
        <w:t xml:space="preserve"> Our recommendation is </w:t>
      </w:r>
      <w:r>
        <w:rPr>
          <w:rFonts w:hint="default" w:ascii="Arial Regular" w:hAnsi="Arial Regular" w:cs="Arial Regular"/>
          <w:b w:val="0"/>
          <w:bCs w:val="0"/>
          <w:sz w:val="21"/>
          <w:szCs w:val="21"/>
        </w:rPr>
        <w:t>support-oriented</w:t>
      </w:r>
      <w:r>
        <w:rPr>
          <w:rFonts w:hint="default" w:ascii="Arial Regular" w:hAnsi="Arial Regular" w:cs="Arial Regular"/>
          <w:sz w:val="21"/>
          <w:szCs w:val="21"/>
        </w:rPr>
        <w:t>, not punitive. The AI insight is used to offer help (counseling/restructuring) rather than to automatically cancel credit lines, supporting the financial well-being of our customers.</w:t>
      </w:r>
    </w:p>
    <w:p w14:paraId="2EFF16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EC179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苹方-简"/>
    <w:panose1 w:val="00000000000000000000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A8363"/>
    <w:multiLevelType w:val="multilevel"/>
    <w:tmpl w:val="FFAA8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FC693F"/>
    <w:rsid w:val="5DC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A6A6A6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DDDDD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DDDDD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DDDDD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6F6F6F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6F6F6F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DDDDD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DDDDD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DDDDD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DDDDD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A6A6A6" w:themeColor="accent1" w:themeShade="BF"/>
    </w:rPr>
    <w:tblPr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868686" w:themeColor="accent2" w:themeShade="BF"/>
    </w:rPr>
    <w:tblPr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17171" w:themeColor="accent3" w:themeShade="BF"/>
    </w:rPr>
    <w:tblPr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6060" w:themeColor="accent4" w:themeShade="BF"/>
    </w:rPr>
    <w:tblPr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474747" w:themeColor="accent5" w:themeShade="BF"/>
    </w:rPr>
    <w:tblPr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3A3A3A" w:themeColor="accent6" w:themeShade="BF"/>
    </w:rPr>
    <w:tblPr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5E5E5" w:themeColor="accent1" w:themeTint="BF" w:sz="8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E5E5" w:themeColor="accent1" w:themeTint="BF" w:sz="6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DDDD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2B2B2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69696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808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F5F5F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D4D4D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E5E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EEEE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8D8D8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ACACA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FBF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FAFAF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A6A6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5959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5959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99"/>
      </w:tcPr>
    </w:tblStylePr>
    <w:tblStylePr w:type="band1Vert">
      <w:tblPr/>
      <w:tcPr>
        <w:shd w:val="clear" w:color="auto" w:fill="D4D4D4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38383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38383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838" w:themeFill="accent5" w:themeFillShade="99"/>
      </w:tcPr>
    </w:tblStylePr>
    <w:tblStylePr w:type="band1Vert">
      <w:tblPr/>
      <w:tcPr>
        <w:shd w:val="clear" w:color="auto" w:fill="BEBEBE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9E9E9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77777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E3E3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EDEDE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4B4B4B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9E9E9" w:themeFill="accent3" w:themeFillTint="33"/>
    </w:tcPr>
    <w:tblStylePr w:type="firstRow">
      <w:rPr>
        <w:b/>
        <w:bCs/>
      </w:rPr>
      <w:tblPr/>
      <w:tcPr>
        <w:shd w:val="clear" w:color="auto" w:fill="D4D4D4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4D4D4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DEDE" w:themeFill="accent5" w:themeFillTint="33"/>
    </w:tcPr>
    <w:tblStylePr w:type="firstRow">
      <w:rPr>
        <w:b/>
        <w:bCs/>
      </w:rPr>
      <w:tblPr/>
      <w:tcPr>
        <w:shd w:val="clear" w:color="auto" w:fill="BEBEB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BEB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A6A6A6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DDDDD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DDDDD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DDDDD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DDDDD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6F6F6F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6F6F6F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DDDDD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DDDDDD" w:themeColor="accent1" w:sz="4" w:space="4"/>
      </w:pBdr>
      <w:spacing w:before="200" w:after="280"/>
      <w:ind w:left="936" w:right="936"/>
    </w:pPr>
    <w:rPr>
      <w:b/>
      <w:bCs/>
      <w:i/>
      <w:iCs/>
      <w:color w:val="DDDDD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DDDDD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DDDDD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B2B2B2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B2B2B2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1662</Characters>
  <Lines>13</Lines>
  <Paragraphs>3</Paragraphs>
  <TotalTime>15</TotalTime>
  <ScaleCrop>false</ScaleCrop>
  <LinksUpToDate>false</LinksUpToDate>
  <CharactersWithSpaces>1950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VarshaVeeramalli</cp:lastModifiedBy>
  <dcterms:modified xsi:type="dcterms:W3CDTF">2026-03-15T13:26:07Z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9891ADE19E48F4CE1766B669C30DE331_42</vt:lpwstr>
  </property>
</Properties>
</file>