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84C78"/>
          <w:sz w:val="28"/>
        </w:rPr>
        <w:t>SMARTBRIDGE</w:t>
      </w:r>
    </w:p>
    <w:p>
      <w:pPr>
        <w:spacing w:before="0" w:after="240"/>
      </w:pPr>
      <w:r>
        <w:rPr>
          <w:rFonts w:ascii="Arial" w:hAnsi="Arial"/>
          <w:i/>
          <w:color w:val="646E78"/>
          <w:sz w:val="19"/>
        </w:rPr>
        <w:t>Let's Bridge the Gap | SKILL WALLET - A SmartBridge Product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6" w:space="0" w:color="B0C4DE"/>
          <w:insideV w:val="single" w:sz="6" w:space="0" w:color="B0C4DE"/>
        </w:tblBorders>
      </w:tblPr>
      <w:tblGrid>
        <w:gridCol w:w="4824"/>
        <w:gridCol w:w="4824"/>
      </w:tblGrid>
      <w:tr>
        <w:tc>
          <w:tcPr>
            <w:tcW w:type="dxa" w:w="2592"/>
            <w:shd w:fill="F0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20"/>
              </w:rPr>
              <w:t>Date</w:t>
            </w:r>
          </w:p>
        </w:tc>
        <w:tc>
          <w:tcPr>
            <w:tcW w:type="dxa" w:w="67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20"/>
              </w:rPr>
              <w:t>29-09-2026</w:t>
            </w:r>
          </w:p>
        </w:tc>
      </w:tr>
      <w:tr>
        <w:tc>
          <w:tcPr>
            <w:tcW w:type="dxa" w:w="2592"/>
            <w:shd w:fill="F0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20"/>
              </w:rPr>
              <w:t>Team ID</w:t>
            </w:r>
          </w:p>
        </w:tc>
        <w:tc>
          <w:tcPr>
            <w:tcW w:type="dxa" w:w="67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20"/>
              </w:rPr>
              <w:t>SWTID-2026-7804</w:t>
            </w:r>
          </w:p>
        </w:tc>
      </w:tr>
      <w:tr>
        <w:tc>
          <w:tcPr>
            <w:tcW w:type="dxa" w:w="2592"/>
            <w:shd w:fill="F0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20"/>
              </w:rPr>
              <w:t>Project Name</w:t>
            </w:r>
          </w:p>
        </w:tc>
        <w:tc>
          <w:tcPr>
            <w:tcW w:type="dxa" w:w="67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20"/>
              </w:rPr>
              <w:t>Script-Controlled ACL – Restrict Record Access Based on Field Value</w:t>
            </w:r>
          </w:p>
        </w:tc>
      </w:tr>
    </w:tbl>
    <w:p>
      <w:pPr>
        <w:spacing w:before="160" w:after="160"/>
      </w:pPr>
    </w:p>
    <w:p>
      <w:pPr>
        <w:spacing w:before="120" w:after="80"/>
      </w:pPr>
      <w:r>
        <w:rPr>
          <w:rFonts w:ascii="Arial" w:hAnsi="Arial"/>
          <w:b/>
          <w:color w:val="184C78"/>
          <w:sz w:val="32"/>
        </w:rPr>
        <w:t>Empathy Map</w:t>
      </w:r>
    </w:p>
    <w:p>
      <w:pPr>
        <w:spacing w:after="280"/>
      </w:pPr>
      <w:r>
        <w:rPr>
          <w:rFonts w:ascii="Arial" w:hAnsi="Arial"/>
          <w:color w:val="475569"/>
          <w:sz w:val="20"/>
        </w:rPr>
        <w:t>Create an empathy map to understand your customer/user from four perspectives - what they Say, Think, Do, and Feel - in relation to the problem your project addresses. This helps the team build a customer-centric solution.</w:t>
      </w:r>
    </w:p>
    <w:p>
      <w:pPr>
        <w:spacing w:after="240"/>
      </w:pPr>
      <w:r>
        <w:rPr>
          <w:rFonts w:ascii="Arial" w:hAnsi="Arial"/>
          <w:b/>
          <w:sz w:val="22"/>
        </w:rPr>
        <w:t xml:space="preserve">Target Persona: </w:t>
      </w:r>
      <w:r>
        <w:rPr>
          <w:rFonts w:ascii="Arial" w:hAnsi="Arial"/>
          <w:sz w:val="22"/>
        </w:rPr>
        <w:t>Departmental Faculty / Academic Staff (Branch: EEE) &amp; ServiceNow Security Administrator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6" w:space="0" w:color="94A3B8"/>
          <w:insideV w:val="single" w:sz="6" w:space="0" w:color="94A3B8"/>
        </w:tblBorders>
      </w:tblPr>
      <w:tblGrid>
        <w:gridCol w:w="4824"/>
        <w:gridCol w:w="4824"/>
      </w:tblGrid>
      <w:tr>
        <w:tc>
          <w:tcPr>
            <w:tcW w:type="dxa" w:w="482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SAYS (What they explicitly state)</w:t>
            </w:r>
          </w:p>
        </w:tc>
        <w:tc>
          <w:tcPr>
            <w:tcW w:type="dxa" w:w="482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DOES (Actions &amp; Behaviors)</w:t>
            </w:r>
          </w:p>
        </w:tc>
      </w:tr>
      <w:tr>
        <w:tc>
          <w:tcPr>
            <w:tcW w:type="dxa" w:w="4824"/>
            <w:shd w:fill="F8FAFC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9"/>
              </w:rPr>
              <w:t>• "I should only have access to records and student profiles belonging to my specific branch (EEE)."</w:t>
              <w:br/>
              <w:t>• "Other department data (CSE, ECE) should remain confidential and completely restricted from our view."</w:t>
              <w:br/>
              <w:t>• "I need permission to create, update, and manage student information within my branch seamlessly without security errors."</w:t>
              <w:br/>
              <w:t>• "Administrators must be able to audit and oversee all records globally across all branches."</w:t>
            </w:r>
          </w:p>
        </w:tc>
        <w:tc>
          <w:tcPr>
            <w:tcW w:type="dxa" w:w="4824"/>
            <w:shd w:fill="F8FAFC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9"/>
              </w:rPr>
              <w:t>• Logs into ServiceNow instance using assigned credentials with specific branch role (bb1, bb2, bb3, bb4).</w:t>
              <w:br/>
              <w:t>• Navigates to custom table (u_institution_details) to query student roll numbers, contact info, and faculty mappings.</w:t>
              <w:br/>
              <w:t>• Attempts to create new student records and update branch records when granted write/create privileges.</w:t>
              <w:br/>
              <w:t>• Verifies that cross-branch queries return "No records to display" to maintain strict institutional data governance.</w:t>
            </w:r>
          </w:p>
        </w:tc>
      </w:tr>
      <w:tr>
        <w:tc>
          <w:tcPr>
            <w:tcW w:type="dxa" w:w="9648"/>
            <w:gridSpan w:val="2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PERSONA: EEE Branch User / Department Coordinator &amp; Security Admin</w:t>
              <w:br/>
              <w:t>(Role bb1: Read | Role bb2: Create | Role bb3: Write | Role bb4: Delete | Admin: Global)</w:t>
            </w:r>
          </w:p>
        </w:tc>
      </w:tr>
      <w:tr>
        <w:tc>
          <w:tcPr>
            <w:tcW w:type="dxa" w:w="482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THINKS (Internal thoughts &amp; beliefs)</w:t>
            </w:r>
          </w:p>
        </w:tc>
        <w:tc>
          <w:tcPr>
            <w:tcW w:type="dxa" w:w="482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FEELS (Emotions &amp; Concerns)</w:t>
            </w:r>
          </w:p>
        </w:tc>
      </w:tr>
      <w:tr>
        <w:tc>
          <w:tcPr>
            <w:tcW w:type="dxa" w:w="4824"/>
            <w:shd w:fill="F8FAFC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9"/>
              </w:rPr>
              <w:t>• "Standard UI policies or client scripts are easily bypassed via APIs/reports; server-side Script-Controlled ACLs are mandatory."</w:t>
              <w:br/>
              <w:t>• "Field-value evaluation (Branch == 'EEE') combined with role verification (gs.hasRole) ensures true zero-trust data segregation."</w:t>
              <w:br/>
              <w:t>• "Granular control over CRUD operations prevents accidental record deletions or unauthorized branch edits."</w:t>
              <w:br/>
              <w:t>• "Is our security architecture scalable if we introduce 10+ new academic departments in the future?"</w:t>
            </w:r>
          </w:p>
        </w:tc>
        <w:tc>
          <w:tcPr>
            <w:tcW w:type="dxa" w:w="4824"/>
            <w:shd w:fill="F8FAFC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9"/>
              </w:rPr>
              <w:t>• Confident knowing departmental student data (emails, phone numbers, roll numbers) cannot leak to unauthorized users.</w:t>
              <w:br/>
              <w:t>• Frustrated when default out-of-the-box ServiceNow ACLs allow wider visibility than institutional policy permits.</w:t>
              <w:br/>
              <w:t>• Reassured by clear security boundaries where each role (bb1 to bb4) corresponds strictly to legitimate business needs.</w:t>
              <w:br/>
              <w:t>• Empowered having dedicated administrative control without compromising row-level security integrity.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