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84C78"/>
          <w:sz w:val="28"/>
        </w:rPr>
        <w:t>SMARTBRIDGE</w:t>
      </w:r>
    </w:p>
    <w:p>
      <w:pPr>
        <w:spacing w:before="0" w:after="240"/>
      </w:pPr>
      <w:r>
        <w:rPr>
          <w:rFonts w:ascii="Arial" w:hAnsi="Arial"/>
          <w:i/>
          <w:color w:val="646E78"/>
          <w:sz w:val="19"/>
        </w:rPr>
        <w:t>Let's Bridge the Gap | SKILL WALLET - A SmartBridge Product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6" w:space="0" w:color="B0C4DE"/>
          <w:insideV w:val="single" w:sz="6" w:space="0" w:color="B0C4DE"/>
        </w:tblBorders>
      </w:tblPr>
      <w:tblGrid>
        <w:gridCol w:w="4968"/>
        <w:gridCol w:w="4968"/>
      </w:tblGrid>
      <w:tr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20"/>
              </w:rPr>
              <w:t>Date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20"/>
              </w:rPr>
              <w:t>29-09-2026</w:t>
            </w:r>
          </w:p>
        </w:tc>
      </w:tr>
      <w:tr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20"/>
              </w:rPr>
              <w:t>Team ID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20"/>
              </w:rPr>
              <w:t>SWTID-2026-7804</w:t>
            </w:r>
          </w:p>
        </w:tc>
      </w:tr>
      <w:tr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20"/>
              </w:rPr>
              <w:t>Project Name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20"/>
              </w:rPr>
              <w:t>Script-Controlled ACL – Restrict Record Access Based on Field Value</w:t>
            </w:r>
          </w:p>
        </w:tc>
      </w:tr>
    </w:tbl>
    <w:p>
      <w:pPr>
        <w:spacing w:before="160" w:after="160"/>
      </w:pPr>
    </w:p>
    <w:p>
      <w:pPr>
        <w:spacing w:before="80" w:after="80"/>
      </w:pPr>
      <w:r>
        <w:rPr>
          <w:rFonts w:ascii="Arial" w:hAnsi="Arial"/>
          <w:b/>
          <w:color w:val="184C78"/>
          <w:sz w:val="28"/>
        </w:rPr>
        <w:t>Solution Requirements</w:t>
      </w:r>
    </w:p>
    <w:p>
      <w:pPr>
        <w:spacing w:after="160"/>
      </w:pPr>
      <w:r>
        <w:rPr>
          <w:rFonts w:ascii="Arial" w:hAnsi="Arial"/>
          <w:color w:val="475569"/>
          <w:sz w:val="18"/>
        </w:rPr>
        <w:t>Define Functional and Non-Functional Requirements:</w:t>
        <w:br/>
        <w:t>Create a comprehensive list of requirements to define exactly what your solution will do and how well it will perform.</w:t>
        <w:br/>
        <w:t>• Functional Requirements (FR) define specific behaviors, functions, or features of the system (What the system should do).</w:t>
        <w:br/>
        <w:t>• Non-Functional Requirements (NFR) specify the criteria that judge the operation of a system, rather than specific behaviors (How the system should be).</w:t>
      </w:r>
    </w:p>
    <w:p>
      <w:pPr>
        <w:spacing w:before="80" w:after="80"/>
      </w:pPr>
      <w:r>
        <w:rPr>
          <w:rFonts w:ascii="Arial" w:hAnsi="Arial"/>
          <w:b/>
          <w:color w:val="1E293B"/>
          <w:sz w:val="22"/>
        </w:rPr>
        <w:t>Step 1: Functional Requirements (FR)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6" w:space="0" w:color="94A3B8"/>
          <w:insideV w:val="single" w:sz="6" w:space="0" w:color="94A3B8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864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S.No</w:t>
            </w:r>
          </w:p>
        </w:tc>
        <w:tc>
          <w:tcPr>
            <w:tcW w:type="dxa" w:w="2592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Requirement Category</w:t>
            </w:r>
          </w:p>
        </w:tc>
        <w:tc>
          <w:tcPr>
            <w:tcW w:type="dxa" w:w="5184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Requirement Description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Priority</w:t>
              <w:br/>
              <w:t>(High/Med/Low)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6"/>
              </w:rPr>
              <w:t>Authentication</w:t>
            </w:r>
          </w:p>
        </w:tc>
        <w:tc>
          <w:tcPr>
            <w:tcW w:type="dxa" w:w="518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Secure login via ServiceNow native authentication engine, supporting Multi-Factor Authentication (MFA) and single sign-on (SSO) credential validation.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High</w:t>
            </w:r>
          </w:p>
        </w:tc>
      </w:tr>
      <w:tr>
        <w:tc>
          <w:tcPr>
            <w:tcW w:type="dxa" w:w="86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6"/>
              </w:rPr>
              <w:t>Authorization levels</w:t>
            </w:r>
          </w:p>
        </w:tc>
        <w:tc>
          <w:tcPr>
            <w:tcW w:type="dxa" w:w="518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Role-based granular authorization: bb1 (Read ACL), bb2 (Create ACL), bb3 (Write ACL), bb4 (Delete ACL), with administrative overrides for 'admin' and 'security_admin'.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High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6"/>
              </w:rPr>
              <w:t>External interfaces</w:t>
            </w:r>
          </w:p>
        </w:tc>
        <w:tc>
          <w:tcPr>
            <w:tcW w:type="dxa" w:w="518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Native integration with ServiceNow Service Portal, REST Table APIs, and application navigator lists without security bypass.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Medium</w:t>
            </w:r>
          </w:p>
        </w:tc>
      </w:tr>
      <w:tr>
        <w:tc>
          <w:tcPr>
            <w:tcW w:type="dxa" w:w="86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6"/>
              </w:rPr>
              <w:t>Transactions processing</w:t>
            </w:r>
          </w:p>
        </w:tc>
        <w:tc>
          <w:tcPr>
            <w:tcW w:type="dxa" w:w="518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Dynamic evaluation of server-side Script-Controlled ACLs on custom table 'u_institution_details' matching Branch choice value ('EEE') during CRUD transactions.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High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6"/>
              </w:rPr>
              <w:t>Reporting</w:t>
            </w:r>
          </w:p>
        </w:tc>
        <w:tc>
          <w:tcPr>
            <w:tcW w:type="dxa" w:w="518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Restricted list views and audit reports ensuring branch users only see their own department's data; admins can export cross-branch compliance reports.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Medium</w:t>
            </w:r>
          </w:p>
        </w:tc>
      </w:tr>
      <w:tr>
        <w:tc>
          <w:tcPr>
            <w:tcW w:type="dxa" w:w="86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6"/>
              </w:rPr>
              <w:t>Business rules, etc.</w:t>
            </w:r>
          </w:p>
        </w:tc>
        <w:tc>
          <w:tcPr>
            <w:tcW w:type="dxa" w:w="518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Pre-record evaluation conditions (Branch == 'EEE') combined with server-side script logic (gs.hasRole) executing in isolated scope prior to granting access.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High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7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6"/>
              </w:rPr>
              <w:t>Compliance to laws or regulations</w:t>
            </w:r>
          </w:p>
        </w:tc>
        <w:tc>
          <w:tcPr>
            <w:tcW w:type="dxa" w:w="518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Adherence to FERPA (academic data privacy), institutional data governance standards, and least-privilege security frameworks.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High</w:t>
            </w:r>
          </w:p>
        </w:tc>
      </w:tr>
      <w:tr>
        <w:tc>
          <w:tcPr>
            <w:tcW w:type="dxa" w:w="86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8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6"/>
              </w:rPr>
              <w:t>Other</w:t>
            </w:r>
          </w:p>
        </w:tc>
        <w:tc>
          <w:tcPr>
            <w:tcW w:type="dxa" w:w="518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Automated system logging of unauthorized access attempts and elevated privilege tracking within ServiceNow System Logs.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Low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color w:val="1E293B"/>
          <w:sz w:val="22"/>
        </w:rPr>
        <w:t>Step 2: Non-Functional Requirements (NFR)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6" w:space="0" w:color="94A3B8"/>
          <w:insideV w:val="single" w:sz="6" w:space="0" w:color="94A3B8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864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S.No</w:t>
            </w:r>
          </w:p>
        </w:tc>
        <w:tc>
          <w:tcPr>
            <w:tcW w:type="dxa" w:w="2592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NFR Category</w:t>
            </w:r>
          </w:p>
        </w:tc>
        <w:tc>
          <w:tcPr>
            <w:tcW w:type="dxa" w:w="4464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Requirement Description</w:t>
            </w:r>
          </w:p>
        </w:tc>
        <w:tc>
          <w:tcPr>
            <w:tcW w:type="dxa" w:w="2304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Target Metric / Acceptance Criteria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6"/>
              </w:rPr>
              <w:t>Performance &amp; Speed</w:t>
            </w:r>
          </w:p>
        </w:tc>
        <w:tc>
          <w:tcPr>
            <w:tcW w:type="dxa" w:w="44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ACL rule script evaluation overhead must remain imperceptible during batch record fetching and table list loading.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Record list query execution overhead &lt; 200ms; page load &lt; 2.0s</w:t>
            </w:r>
          </w:p>
        </w:tc>
      </w:tr>
      <w:tr>
        <w:tc>
          <w:tcPr>
            <w:tcW w:type="dxa" w:w="86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6"/>
              </w:rPr>
              <w:t>Scalability</w:t>
            </w:r>
          </w:p>
        </w:tc>
        <w:tc>
          <w:tcPr>
            <w:tcW w:type="dxa" w:w="446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Security architecture must maintain linear response times as the institution details record table scales across departments.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Supports 50,000+ student records and 500+ concurrent role-based queries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6"/>
              </w:rPr>
              <w:t>Security &amp; Data Privacy</w:t>
            </w:r>
          </w:p>
        </w:tc>
        <w:tc>
          <w:tcPr>
            <w:tcW w:type="dxa" w:w="44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Zero unauthorized cross-department data exposure; defense-in-depth through server-side ACL script enforcement.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100% record denial for unauthorized queries; zero data leakage</w:t>
            </w:r>
          </w:p>
        </w:tc>
      </w:tr>
      <w:tr>
        <w:tc>
          <w:tcPr>
            <w:tcW w:type="dxa" w:w="86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6"/>
              </w:rPr>
              <w:t>Reliability &amp; Availability</w:t>
            </w:r>
          </w:p>
        </w:tc>
        <w:tc>
          <w:tcPr>
            <w:tcW w:type="dxa" w:w="446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Access Control Lists must continuously govern record operations without runtime JavaScript exceptions or unhandled failures.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99.9% platform availability; zero ACL syntax/script runtime errors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6"/>
              </w:rPr>
              <w:t>Usability &amp; Accessibility</w:t>
            </w:r>
          </w:p>
        </w:tc>
        <w:tc>
          <w:tcPr>
            <w:tcW w:type="dxa" w:w="44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Clean list view rendering indicating 'No records to display' for restricted records; accessibility compliant UI.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Complies with WCAG 2.1 AA; clear visual indication of permitted actions</w:t>
            </w:r>
          </w:p>
        </w:tc>
      </w:tr>
      <w:tr>
        <w:tc>
          <w:tcPr>
            <w:tcW w:type="dxa" w:w="86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6"/>
              </w:rPr>
              <w:t>Other (Maintainability)</w:t>
            </w:r>
          </w:p>
        </w:tc>
        <w:tc>
          <w:tcPr>
            <w:tcW w:type="dxa" w:w="446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Modular scripting and standardized naming conventions for easy replication across new academic branches (e.g., MECH, CIVIL).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Code maintainability index &gt; 85; configuration turnaround &lt; 1 hr per department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