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5040"/>
        <w:gridCol w:w="5040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70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Project Demo Planning</w:t>
      </w:r>
    </w:p>
    <w:p>
      <w:pPr>
        <w:spacing w:after="200"/>
      </w:pPr>
      <w:r>
        <w:rPr>
          <w:rFonts w:ascii="Arial" w:hAnsi="Arial"/>
          <w:color w:val="475569"/>
          <w:sz w:val="19"/>
        </w:rP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Project Demo Planning Agenda: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Demo Section</w:t>
            </w:r>
          </w:p>
        </w:tc>
        <w:tc>
          <w:tcPr>
            <w:tcW w:type="dxa" w:w="3888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Duration (mins)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Responsible Member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Introduction &amp; Problem Statement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Present the problem of cross-department student data exposure in standard table views and the necessity of server-side row security.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 mins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Team Member 1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Architecture &amp; Schema Setup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Walk through custom table 'u_institution_details', field configurations, and custom security roles (bb1 to bb4).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 mins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Team Member 2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Script-Controlled Read ACL Deep-Dive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Show elevated 'security_admin' role, explain Read ACL condition (Branch is EEE) and advanced JavaScript script logic (gs.hasRole).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 mins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Team Member 1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Granular CRUD ACL Implementation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Demonstrate Create ACL (role bb2), Write ACL (role bb3), and Delete ACL (role bb4) configurations.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 mins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Team Member 3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Multi-Persona Impersonation Live Test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Impersonate EEE User (strictly 2 EEE records visible + CRUD active), Impersonate Admin (all 6 records visible), Impersonate Non-role User (0 records).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 mins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Team Member 2 &amp; 3</w:t>
            </w:r>
          </w:p>
        </w:tc>
      </w:tr>
      <w:tr>
        <w:tc>
          <w:tcPr>
            <w:tcW w:type="dxa" w:w="72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Q&amp;A and Architectural Wrap-up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Address evaluator inquiries regarding security best practices, performance overhead, scalability, and FERPA data compliance.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 mins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All Team Members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293B"/>
          <w:sz w:val="22"/>
        </w:rPr>
        <w:t>Demo Flow Summary: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60"/>
        <w:gridCol w:w="3360"/>
        <w:gridCol w:w="3360"/>
      </w:tblGrid>
      <w:tr>
        <w:tc>
          <w:tcPr>
            <w:tcW w:type="dxa" w:w="115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74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518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Introduction &amp; Problem Statement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Highlight institutional compliance risks, PII data leakage, and why client-side UI policies fail to stop API tampering.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Solution Overview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Present the 3-tier ACL architecture: Role Requirement, Data Filter Condition (Branch is EEE), and ECMAScript evaluation.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Live Feature Demonstration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Execute live ServiceNow test via User Impersonation: compare EEE User (only EEE records, full CRUD) against Admin (global visibility).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Q&amp;A Session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334155"/>
                <w:sz w:val="16"/>
              </w:rPr>
              <w:t>Explain performance benchmark results (&lt;80ms script latency), update set artifact packaging, and future branch scalability.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