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84C78"/>
          <w:sz w:val="28"/>
        </w:rPr>
        <w:t>SMARTBRIDGE</w:t>
      </w:r>
    </w:p>
    <w:p>
      <w:pPr>
        <w:spacing w:before="0" w:after="240"/>
      </w:pPr>
      <w:r>
        <w:rPr>
          <w:rFonts w:ascii="Arial" w:hAnsi="Arial"/>
          <w:i/>
          <w:color w:val="646E78"/>
          <w:sz w:val="19"/>
        </w:rPr>
        <w:t>Let's Bridge the Gap | SKILL WALLET - A SmartBridge Product</w:t>
      </w:r>
    </w:p>
    <w:tbl>
      <w:tblPr>
        <w:tblW w:type="auto" w:w="0"/>
        <w:jc w:val="center"/>
        <w:tblLayout w:type="fixed"/>
        <w:tblLook w:firstColumn="1" w:firstRow="1" w:lastColumn="0" w:lastRow="0" w:noHBand="0" w:noVBand="1" w:val="04A0"/>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Pr>
      <w:tblGrid>
        <w:gridCol w:w="5040"/>
        <w:gridCol w:w="5040"/>
      </w:tblGrid>
      <w:tr>
        <w:tc>
          <w:tcPr>
            <w:tcW w:type="dxa" w:w="2592"/>
            <w:shd w:fill="F0F4F8"/>
            <w:tcMar>
              <w:top w:w="100" w:type="dxa"/>
              <w:bottom w:w="100" w:type="dxa"/>
              <w:left w:w="140" w:type="dxa"/>
              <w:right w:w="140" w:type="dxa"/>
            </w:tcMar>
          </w:tcPr>
          <w:p>
            <w:pPr>
              <w:spacing w:after="0"/>
            </w:pPr>
            <w:r>
              <w:rPr>
                <w:rFonts w:ascii="Arial" w:hAnsi="Arial"/>
                <w:b/>
                <w:color w:val="1E293B"/>
                <w:sz w:val="20"/>
              </w:rPr>
              <w:t>Date</w:t>
            </w:r>
          </w:p>
        </w:tc>
        <w:tc>
          <w:tcPr>
            <w:tcW w:type="dxa" w:w="7056"/>
            <w:shd w:fill="FFFFFF"/>
            <w:tcMar>
              <w:top w:w="100" w:type="dxa"/>
              <w:bottom w:w="100" w:type="dxa"/>
              <w:left w:w="140" w:type="dxa"/>
              <w:right w:w="140" w:type="dxa"/>
            </w:tcMar>
          </w:tcPr>
          <w:p>
            <w:pPr>
              <w:spacing w:after="0"/>
            </w:pPr>
            <w:r>
              <w:rPr>
                <w:rFonts w:ascii="Arial" w:hAnsi="Arial"/>
                <w:color w:val="0F172A"/>
                <w:sz w:val="20"/>
              </w:rPr>
              <w:t>29-09-2026</w:t>
            </w:r>
          </w:p>
        </w:tc>
      </w:tr>
      <w:tr>
        <w:tc>
          <w:tcPr>
            <w:tcW w:type="dxa" w:w="2592"/>
            <w:shd w:fill="F0F4F8"/>
            <w:tcMar>
              <w:top w:w="100" w:type="dxa"/>
              <w:bottom w:w="100" w:type="dxa"/>
              <w:left w:w="140" w:type="dxa"/>
              <w:right w:w="140" w:type="dxa"/>
            </w:tcMar>
          </w:tcPr>
          <w:p>
            <w:pPr>
              <w:spacing w:after="0"/>
            </w:pPr>
            <w:r>
              <w:rPr>
                <w:rFonts w:ascii="Arial" w:hAnsi="Arial"/>
                <w:b/>
                <w:color w:val="1E293B"/>
                <w:sz w:val="20"/>
              </w:rPr>
              <w:t>Team ID</w:t>
            </w:r>
          </w:p>
        </w:tc>
        <w:tc>
          <w:tcPr>
            <w:tcW w:type="dxa" w:w="7056"/>
            <w:shd w:fill="FFFFFF"/>
            <w:tcMar>
              <w:top w:w="100" w:type="dxa"/>
              <w:bottom w:w="100" w:type="dxa"/>
              <w:left w:w="140" w:type="dxa"/>
              <w:right w:w="140" w:type="dxa"/>
            </w:tcMar>
          </w:tcPr>
          <w:p>
            <w:pPr>
              <w:spacing w:after="0"/>
            </w:pPr>
            <w:r>
              <w:rPr>
                <w:rFonts w:ascii="Arial" w:hAnsi="Arial"/>
                <w:color w:val="0F172A"/>
                <w:sz w:val="20"/>
              </w:rPr>
              <w:t>SWTID-2026-7804</w:t>
            </w:r>
          </w:p>
        </w:tc>
      </w:tr>
      <w:tr>
        <w:tc>
          <w:tcPr>
            <w:tcW w:type="dxa" w:w="2592"/>
            <w:shd w:fill="F0F4F8"/>
            <w:tcMar>
              <w:top w:w="100" w:type="dxa"/>
              <w:bottom w:w="100" w:type="dxa"/>
              <w:left w:w="140" w:type="dxa"/>
              <w:right w:w="140" w:type="dxa"/>
            </w:tcMar>
          </w:tcPr>
          <w:p>
            <w:pPr>
              <w:spacing w:after="0"/>
            </w:pPr>
            <w:r>
              <w:rPr>
                <w:rFonts w:ascii="Arial" w:hAnsi="Arial"/>
                <w:b/>
                <w:color w:val="1E293B"/>
                <w:sz w:val="20"/>
              </w:rPr>
              <w:t>Project Name</w:t>
            </w:r>
          </w:p>
        </w:tc>
        <w:tc>
          <w:tcPr>
            <w:tcW w:type="dxa" w:w="7056"/>
            <w:shd w:fill="FFFFFF"/>
            <w:tcMar>
              <w:top w:w="100" w:type="dxa"/>
              <w:bottom w:w="100" w:type="dxa"/>
              <w:left w:w="140" w:type="dxa"/>
              <w:right w:w="140" w:type="dxa"/>
            </w:tcMar>
          </w:tcPr>
          <w:p>
            <w:pPr>
              <w:spacing w:after="0"/>
            </w:pPr>
            <w:r>
              <w:rPr>
                <w:rFonts w:ascii="Arial" w:hAnsi="Arial"/>
                <w:color w:val="0F172A"/>
                <w:sz w:val="20"/>
              </w:rPr>
              <w:t>Script-Controlled ACL – Restrict Record Access Based on Field Value</w:t>
            </w:r>
          </w:p>
        </w:tc>
      </w:tr>
    </w:tbl>
    <w:p>
      <w:pPr>
        <w:spacing w:before="160" w:after="160"/>
      </w:pPr>
    </w:p>
    <w:p>
      <w:pPr>
        <w:spacing w:before="80" w:after="80"/>
      </w:pPr>
      <w:r>
        <w:rPr>
          <w:rFonts w:ascii="Arial" w:hAnsi="Arial"/>
          <w:b/>
          <w:color w:val="184C78"/>
          <w:sz w:val="28"/>
        </w:rPr>
        <w:t>Scalability &amp; Future Plan</w:t>
      </w:r>
    </w:p>
    <w:p>
      <w:pPr>
        <w:spacing w:after="200"/>
      </w:pPr>
      <w:r>
        <w:rPr>
          <w:rFonts w:ascii="Arial" w:hAnsi="Arial"/>
          <w:color w:val="475569"/>
          <w:sz w:val="19"/>
        </w:rPr>
        <w:t>Scalability &amp; Future Plan:</w:t>
        <w:br/>
        <w:t>This document outlines how the current project solution can be scaled to handle larger user bases, increased data loads, or extended features in the future. It also captures the team's roadmap for enhancing and evolving the project beyond its current state.</w:t>
      </w:r>
    </w:p>
    <w:p>
      <w:pPr>
        <w:spacing w:after="80"/>
      </w:pPr>
      <w:r>
        <w:rPr>
          <w:rFonts w:ascii="Arial" w:hAnsi="Arial"/>
          <w:b/>
          <w:color w:val="1E293B"/>
          <w:sz w:val="22"/>
        </w:rPr>
        <w:t>Current System Limitations:</w:t>
      </w:r>
    </w:p>
    <w:tbl>
      <w:tblPr>
        <w:tblW w:type="auto" w:w="0"/>
        <w:jc w:val="center"/>
        <w:tblLayout w:type="fixed"/>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2520"/>
        <w:gridCol w:w="2520"/>
        <w:gridCol w:w="2520"/>
        <w:gridCol w:w="2520"/>
      </w:tblGrid>
      <w:tr>
        <w:tc>
          <w:tcPr>
            <w:tcW w:type="dxa" w:w="864"/>
            <w:shd w:fill="1E3A8A"/>
            <w:tcMar>
              <w:top w:w="80" w:type="dxa"/>
              <w:bottom w:w="80" w:type="dxa"/>
              <w:left w:w="50" w:type="dxa"/>
              <w:right w:w="50" w:type="dxa"/>
            </w:tcMar>
          </w:tcPr>
          <w:p>
            <w:pPr>
              <w:jc w:val="center"/>
            </w:pPr>
            <w:r>
              <w:rPr>
                <w:rFonts w:ascii="Arial" w:hAnsi="Arial"/>
                <w:b/>
                <w:color w:val="FFFFFF"/>
                <w:sz w:val="17"/>
              </w:rPr>
              <w:t>S.No</w:t>
            </w:r>
          </w:p>
        </w:tc>
        <w:tc>
          <w:tcPr>
            <w:tcW w:type="dxa" w:w="3744"/>
            <w:shd w:fill="1E3A8A"/>
            <w:tcMar>
              <w:top w:w="80" w:type="dxa"/>
              <w:bottom w:w="80" w:type="dxa"/>
              <w:left w:w="50" w:type="dxa"/>
              <w:right w:w="50" w:type="dxa"/>
            </w:tcMar>
          </w:tcPr>
          <w:p>
            <w:pPr>
              <w:jc w:val="center"/>
            </w:pPr>
            <w:r>
              <w:rPr>
                <w:rFonts w:ascii="Arial" w:hAnsi="Arial"/>
                <w:b/>
                <w:color w:val="FFFFFF"/>
                <w:sz w:val="17"/>
              </w:rPr>
              <w:t>Limitation</w:t>
            </w:r>
          </w:p>
        </w:tc>
        <w:tc>
          <w:tcPr>
            <w:tcW w:type="dxa" w:w="3744"/>
            <w:shd w:fill="1E3A8A"/>
            <w:tcMar>
              <w:top w:w="80" w:type="dxa"/>
              <w:bottom w:w="80" w:type="dxa"/>
              <w:left w:w="50" w:type="dxa"/>
              <w:right w:w="50" w:type="dxa"/>
            </w:tcMar>
          </w:tcPr>
          <w:p>
            <w:pPr>
              <w:jc w:val="center"/>
            </w:pPr>
            <w:r>
              <w:rPr>
                <w:rFonts w:ascii="Arial" w:hAnsi="Arial"/>
                <w:b/>
                <w:color w:val="FFFFFF"/>
                <w:sz w:val="17"/>
              </w:rPr>
              <w:t>Impact</w:t>
            </w:r>
          </w:p>
        </w:tc>
        <w:tc>
          <w:tcPr>
            <w:tcW w:type="dxa" w:w="1728"/>
            <w:shd w:fill="1E3A8A"/>
            <w:tcMar>
              <w:top w:w="80" w:type="dxa"/>
              <w:bottom w:w="80" w:type="dxa"/>
              <w:left w:w="50" w:type="dxa"/>
              <w:right w:w="50" w:type="dxa"/>
            </w:tcMar>
          </w:tcPr>
          <w:p>
            <w:pPr>
              <w:jc w:val="center"/>
            </w:pPr>
            <w:r>
              <w:rPr>
                <w:rFonts w:ascii="Arial" w:hAnsi="Arial"/>
                <w:b/>
                <w:color w:val="FFFFFF"/>
                <w:sz w:val="17"/>
              </w:rPr>
              <w:t>Priority to Address</w:t>
              <w:br/>
              <w:t>(High/Medium/Low)</w:t>
            </w:r>
          </w:p>
        </w:tc>
      </w:tr>
      <w:tr>
        <w:tc>
          <w:tcPr>
            <w:tcW w:type="dxa" w:w="864"/>
            <w:shd w:fill="FFFFFF"/>
            <w:tcMar>
              <w:top w:w="60" w:type="dxa"/>
              <w:bottom w:w="60" w:type="dxa"/>
              <w:left w:w="50" w:type="dxa"/>
              <w:right w:w="50" w:type="dxa"/>
            </w:tcMar>
          </w:tcPr>
          <w:p>
            <w:pPr>
              <w:spacing w:after="0"/>
              <w:jc w:val="center"/>
            </w:pPr>
            <w:r>
              <w:rPr>
                <w:rFonts w:ascii="Arial" w:hAnsi="Arial"/>
                <w:b/>
                <w:sz w:val="16"/>
              </w:rPr>
              <w:t>1</w:t>
            </w:r>
          </w:p>
        </w:tc>
        <w:tc>
          <w:tcPr>
            <w:tcW w:type="dxa" w:w="3744"/>
            <w:shd w:fill="FFFFFF"/>
            <w:tcMar>
              <w:top w:w="60" w:type="dxa"/>
              <w:bottom w:w="60" w:type="dxa"/>
              <w:left w:w="50" w:type="dxa"/>
              <w:right w:w="50" w:type="dxa"/>
            </w:tcMar>
          </w:tcPr>
          <w:p>
            <w:pPr>
              <w:spacing w:after="0"/>
              <w:jc w:val="left"/>
            </w:pPr>
            <w:r>
              <w:rPr>
                <w:rFonts w:ascii="Arial" w:hAnsi="Arial"/>
                <w:b/>
                <w:color w:val="1E293B"/>
                <w:sz w:val="16"/>
              </w:rPr>
              <w:t>Static Branch Evaluation in ACL Script: The current ACL condition specifically checks 'Branch is EEE' using static string comparison.</w:t>
            </w:r>
          </w:p>
        </w:tc>
        <w:tc>
          <w:tcPr>
            <w:tcW w:type="dxa" w:w="3744"/>
            <w:shd w:fill="FFFFFF"/>
            <w:tcMar>
              <w:top w:w="60" w:type="dxa"/>
              <w:bottom w:w="60" w:type="dxa"/>
              <w:left w:w="50" w:type="dxa"/>
              <w:right w:w="50" w:type="dxa"/>
            </w:tcMar>
          </w:tcPr>
          <w:p>
            <w:pPr>
              <w:spacing w:after="0"/>
              <w:jc w:val="left"/>
            </w:pPr>
            <w:r>
              <w:rPr>
                <w:rFonts w:ascii="Arial" w:hAnsi="Arial"/>
                <w:color w:val="334155"/>
                <w:sz w:val="16"/>
              </w:rPr>
              <w:t>Adding new departments (e.g., Mechanical, Civil) requires configuring new discrete ACL records manually.</w:t>
            </w:r>
          </w:p>
        </w:tc>
        <w:tc>
          <w:tcPr>
            <w:tcW w:type="dxa" w:w="1728"/>
            <w:shd w:fill="FFFFFF"/>
            <w:tcMar>
              <w:top w:w="60" w:type="dxa"/>
              <w:bottom w:w="60" w:type="dxa"/>
              <w:left w:w="50" w:type="dxa"/>
              <w:right w:w="50" w:type="dxa"/>
            </w:tcMar>
          </w:tcPr>
          <w:p>
            <w:pPr>
              <w:spacing w:after="0"/>
              <w:jc w:val="center"/>
            </w:pPr>
            <w:r>
              <w:rPr>
                <w:rFonts w:ascii="Arial" w:hAnsi="Arial"/>
                <w:b/>
                <w:color w:val="B42828"/>
                <w:sz w:val="16"/>
              </w:rPr>
              <w:t>High</w:t>
            </w:r>
          </w:p>
        </w:tc>
      </w:tr>
      <w:tr>
        <w:tc>
          <w:tcPr>
            <w:tcW w:type="dxa" w:w="864"/>
            <w:shd w:fill="F8FAFC"/>
            <w:tcMar>
              <w:top w:w="60" w:type="dxa"/>
              <w:bottom w:w="60" w:type="dxa"/>
              <w:left w:w="50" w:type="dxa"/>
              <w:right w:w="50" w:type="dxa"/>
            </w:tcMar>
          </w:tcPr>
          <w:p>
            <w:pPr>
              <w:spacing w:after="0"/>
              <w:jc w:val="center"/>
            </w:pPr>
            <w:r>
              <w:rPr>
                <w:rFonts w:ascii="Arial" w:hAnsi="Arial"/>
                <w:b/>
                <w:sz w:val="16"/>
              </w:rPr>
              <w:t>2</w:t>
            </w:r>
          </w:p>
        </w:tc>
        <w:tc>
          <w:tcPr>
            <w:tcW w:type="dxa" w:w="3744"/>
            <w:shd w:fill="F8FAFC"/>
            <w:tcMar>
              <w:top w:w="60" w:type="dxa"/>
              <w:bottom w:w="60" w:type="dxa"/>
              <w:left w:w="50" w:type="dxa"/>
              <w:right w:w="50" w:type="dxa"/>
            </w:tcMar>
          </w:tcPr>
          <w:p>
            <w:pPr>
              <w:spacing w:after="0"/>
              <w:jc w:val="left"/>
            </w:pPr>
            <w:r>
              <w:rPr>
                <w:rFonts w:ascii="Arial" w:hAnsi="Arial"/>
                <w:b/>
                <w:color w:val="1E293B"/>
                <w:sz w:val="16"/>
              </w:rPr>
              <w:t>Direct User-to-Role Assignment: Roles bb1 to bb4 are mapped directly to individual user accounts rather than via ServiceNow User Groups.</w:t>
            </w:r>
          </w:p>
        </w:tc>
        <w:tc>
          <w:tcPr>
            <w:tcW w:type="dxa" w:w="3744"/>
            <w:shd w:fill="F8FAFC"/>
            <w:tcMar>
              <w:top w:w="60" w:type="dxa"/>
              <w:bottom w:w="60" w:type="dxa"/>
              <w:left w:w="50" w:type="dxa"/>
              <w:right w:w="50" w:type="dxa"/>
            </w:tcMar>
          </w:tcPr>
          <w:p>
            <w:pPr>
              <w:spacing w:after="0"/>
              <w:jc w:val="left"/>
            </w:pPr>
            <w:r>
              <w:rPr>
                <w:rFonts w:ascii="Arial" w:hAnsi="Arial"/>
                <w:color w:val="334155"/>
                <w:sz w:val="16"/>
              </w:rPr>
              <w:t>Administrative overhead increases significantly when provisioning hundreds of departmental faculty members.</w:t>
            </w:r>
          </w:p>
        </w:tc>
        <w:tc>
          <w:tcPr>
            <w:tcW w:type="dxa" w:w="1728"/>
            <w:shd w:fill="F8FAFC"/>
            <w:tcMar>
              <w:top w:w="60" w:type="dxa"/>
              <w:bottom w:w="60" w:type="dxa"/>
              <w:left w:w="50" w:type="dxa"/>
              <w:right w:w="50" w:type="dxa"/>
            </w:tcMar>
          </w:tcPr>
          <w:p>
            <w:pPr>
              <w:spacing w:after="0"/>
              <w:jc w:val="center"/>
            </w:pPr>
            <w:r>
              <w:rPr>
                <w:rFonts w:ascii="Arial" w:hAnsi="Arial"/>
                <w:b/>
                <w:color w:val="C87814"/>
                <w:sz w:val="16"/>
              </w:rPr>
              <w:t>Medium</w:t>
            </w:r>
          </w:p>
        </w:tc>
      </w:tr>
      <w:tr>
        <w:tc>
          <w:tcPr>
            <w:tcW w:type="dxa" w:w="864"/>
            <w:shd w:fill="FFFFFF"/>
            <w:tcMar>
              <w:top w:w="60" w:type="dxa"/>
              <w:bottom w:w="60" w:type="dxa"/>
              <w:left w:w="50" w:type="dxa"/>
              <w:right w:w="50" w:type="dxa"/>
            </w:tcMar>
          </w:tcPr>
          <w:p>
            <w:pPr>
              <w:spacing w:after="0"/>
              <w:jc w:val="center"/>
            </w:pPr>
            <w:r>
              <w:rPr>
                <w:rFonts w:ascii="Arial" w:hAnsi="Arial"/>
                <w:b/>
                <w:sz w:val="16"/>
              </w:rPr>
              <w:t>3</w:t>
            </w:r>
          </w:p>
        </w:tc>
        <w:tc>
          <w:tcPr>
            <w:tcW w:type="dxa" w:w="3744"/>
            <w:shd w:fill="FFFFFF"/>
            <w:tcMar>
              <w:top w:w="60" w:type="dxa"/>
              <w:bottom w:w="60" w:type="dxa"/>
              <w:left w:w="50" w:type="dxa"/>
              <w:right w:w="50" w:type="dxa"/>
            </w:tcMar>
          </w:tcPr>
          <w:p>
            <w:pPr>
              <w:spacing w:after="0"/>
              <w:jc w:val="left"/>
            </w:pPr>
            <w:r>
              <w:rPr>
                <w:rFonts w:ascii="Arial" w:hAnsi="Arial"/>
                <w:b/>
                <w:color w:val="1E293B"/>
                <w:sz w:val="16"/>
              </w:rPr>
              <w:t>Standard List View Count Message: The list header indicates '6 records matching' while only displaying the 2 authorized EEE rows to the end user.</w:t>
            </w:r>
          </w:p>
        </w:tc>
        <w:tc>
          <w:tcPr>
            <w:tcW w:type="dxa" w:w="3744"/>
            <w:shd w:fill="FFFFFF"/>
            <w:tcMar>
              <w:top w:w="60" w:type="dxa"/>
              <w:bottom w:w="60" w:type="dxa"/>
              <w:left w:w="50" w:type="dxa"/>
              <w:right w:w="50" w:type="dxa"/>
            </w:tcMar>
          </w:tcPr>
          <w:p>
            <w:pPr>
              <w:spacing w:after="0"/>
              <w:jc w:val="left"/>
            </w:pPr>
            <w:r>
              <w:rPr>
                <w:rFonts w:ascii="Arial" w:hAnsi="Arial"/>
                <w:color w:val="334155"/>
                <w:sz w:val="16"/>
              </w:rPr>
              <w:t>May cause minor visual confusion for non-technical academic staff, though security isolation remains 100% airtight.</w:t>
            </w:r>
          </w:p>
        </w:tc>
        <w:tc>
          <w:tcPr>
            <w:tcW w:type="dxa" w:w="1728"/>
            <w:shd w:fill="FFFFFF"/>
            <w:tcMar>
              <w:top w:w="60" w:type="dxa"/>
              <w:bottom w:w="60" w:type="dxa"/>
              <w:left w:w="50" w:type="dxa"/>
              <w:right w:w="50" w:type="dxa"/>
            </w:tcMar>
          </w:tcPr>
          <w:p>
            <w:pPr>
              <w:spacing w:after="0"/>
              <w:jc w:val="center"/>
            </w:pPr>
            <w:r>
              <w:rPr>
                <w:rFonts w:ascii="Arial" w:hAnsi="Arial"/>
                <w:b/>
                <w:color w:val="2864A0"/>
                <w:sz w:val="16"/>
              </w:rPr>
              <w:t>Low</w:t>
            </w:r>
          </w:p>
        </w:tc>
      </w:tr>
    </w:tbl>
    <w:p>
      <w:pPr>
        <w:spacing w:before="200" w:after="80"/>
      </w:pPr>
      <w:r>
        <w:rPr>
          <w:rFonts w:ascii="Arial" w:hAnsi="Arial"/>
          <w:b/>
          <w:color w:val="1E293B"/>
          <w:sz w:val="22"/>
        </w:rPr>
        <w:t>Scalability Plan:</w:t>
      </w:r>
    </w:p>
    <w:tbl>
      <w:tblPr>
        <w:tblW w:type="auto" w:w="0"/>
        <w:jc w:val="center"/>
        <w:tblLayout w:type="fixed"/>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3360"/>
        <w:gridCol w:w="3360"/>
        <w:gridCol w:w="3360"/>
      </w:tblGrid>
      <w:tr>
        <w:tc>
          <w:tcPr>
            <w:tcW w:type="dxa" w:w="3360"/>
          </w:tcPr>
          <w:p/>
        </w:tc>
        <w:tc>
          <w:tcPr>
            <w:tcW w:type="dxa" w:w="3360"/>
          </w:tcPr>
          <w:p/>
        </w:tc>
        <w:tc>
          <w:tcPr>
            <w:tcW w:type="dxa" w:w="3360"/>
          </w:tcPr>
          <w:p/>
        </w:tc>
      </w:tr>
      <w:tr>
        <w:tc>
          <w:tcPr>
            <w:tcW w:type="dxa" w:w="3360"/>
          </w:tcPr>
          <w:p/>
        </w:tc>
        <w:tc>
          <w:tcPr>
            <w:tcW w:type="dxa" w:w="3360"/>
          </w:tcPr>
          <w:p/>
        </w:tc>
        <w:tc>
          <w:tcPr>
            <w:tcW w:type="dxa" w:w="3360"/>
          </w:tcPr>
          <w:p/>
        </w:tc>
      </w:tr>
      <w:tr>
        <w:tc>
          <w:tcPr>
            <w:tcW w:type="dxa" w:w="3360"/>
          </w:tcPr>
          <w:p/>
        </w:tc>
        <w:tc>
          <w:tcPr>
            <w:tcW w:type="dxa" w:w="3360"/>
          </w:tcPr>
          <w:p/>
        </w:tc>
        <w:tc>
          <w:tcPr>
            <w:tcW w:type="dxa" w:w="3360"/>
          </w:tcPr>
          <w:p/>
        </w:tc>
      </w:tr>
      <w:tr>
        <w:tc>
          <w:tcPr>
            <w:tcW w:type="dxa" w:w="3360"/>
          </w:tcPr>
          <w:p/>
        </w:tc>
        <w:tc>
          <w:tcPr>
            <w:tcW w:type="dxa" w:w="3360"/>
          </w:tcPr>
          <w:p/>
        </w:tc>
        <w:tc>
          <w:tcPr>
            <w:tcW w:type="dxa" w:w="3360"/>
          </w:tcPr>
          <w:p/>
        </w:tc>
      </w:tr>
      <w:tr>
        <w:tc>
          <w:tcPr>
            <w:tcW w:type="dxa" w:w="3360"/>
          </w:tcPr>
          <w:p/>
        </w:tc>
        <w:tc>
          <w:tcPr>
            <w:tcW w:type="dxa" w:w="3360"/>
          </w:tcPr>
          <w:p/>
        </w:tc>
        <w:tc>
          <w:tcPr>
            <w:tcW w:type="dxa" w:w="3360"/>
          </w:tcPr>
          <w:p/>
        </w:tc>
      </w:tr>
    </w:tbl>
    <w:tbl>
      <w:tblPr>
        <w:tblW w:type="auto" w:w="0"/>
        <w:jc w:val="center"/>
        <w:tblLayout w:type="fixed"/>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2520"/>
        <w:gridCol w:w="2520"/>
        <w:gridCol w:w="2520"/>
        <w:gridCol w:w="2520"/>
      </w:tblGrid>
      <w:tr>
        <w:tc>
          <w:tcPr>
            <w:tcW w:type="dxa" w:w="720"/>
            <w:shd w:fill="1E3A8A"/>
            <w:tcMar>
              <w:top w:w="80" w:type="dxa"/>
              <w:bottom w:w="80" w:type="dxa"/>
              <w:left w:w="50" w:type="dxa"/>
              <w:right w:w="50" w:type="dxa"/>
            </w:tcMar>
          </w:tcPr>
          <w:p>
            <w:pPr>
              <w:jc w:val="center"/>
            </w:pPr>
            <w:r>
              <w:rPr>
                <w:rFonts w:ascii="Arial" w:hAnsi="Arial"/>
                <w:b/>
                <w:color w:val="FFFFFF"/>
                <w:sz w:val="17"/>
              </w:rPr>
              <w:t>S.No</w:t>
            </w:r>
          </w:p>
        </w:tc>
        <w:tc>
          <w:tcPr>
            <w:tcW w:type="dxa" w:w="2592"/>
            <w:shd w:fill="1E3A8A"/>
            <w:tcMar>
              <w:top w:w="80" w:type="dxa"/>
              <w:bottom w:w="80" w:type="dxa"/>
              <w:left w:w="50" w:type="dxa"/>
              <w:right w:w="50" w:type="dxa"/>
            </w:tcMar>
          </w:tcPr>
          <w:p>
            <w:pPr>
              <w:jc w:val="center"/>
            </w:pPr>
            <w:r>
              <w:rPr>
                <w:rFonts w:ascii="Arial" w:hAnsi="Arial"/>
                <w:b/>
                <w:color w:val="FFFFFF"/>
                <w:sz w:val="17"/>
              </w:rPr>
              <w:t>Scalability Aspect</w:t>
            </w:r>
          </w:p>
        </w:tc>
        <w:tc>
          <w:tcPr>
            <w:tcW w:type="dxa" w:w="3312"/>
            <w:shd w:fill="1E3A8A"/>
            <w:tcMar>
              <w:top w:w="80" w:type="dxa"/>
              <w:bottom w:w="80" w:type="dxa"/>
              <w:left w:w="50" w:type="dxa"/>
              <w:right w:w="50" w:type="dxa"/>
            </w:tcMar>
          </w:tcPr>
          <w:p>
            <w:pPr>
              <w:jc w:val="center"/>
            </w:pPr>
            <w:r>
              <w:rPr>
                <w:rFonts w:ascii="Arial" w:hAnsi="Arial"/>
                <w:b/>
                <w:color w:val="FFFFFF"/>
                <w:sz w:val="17"/>
              </w:rPr>
              <w:t>Current State</w:t>
            </w:r>
          </w:p>
        </w:tc>
        <w:tc>
          <w:tcPr>
            <w:tcW w:type="dxa" w:w="3456"/>
            <w:shd w:fill="1E3A8A"/>
            <w:tcMar>
              <w:top w:w="80" w:type="dxa"/>
              <w:bottom w:w="80" w:type="dxa"/>
              <w:left w:w="50" w:type="dxa"/>
              <w:right w:w="50" w:type="dxa"/>
            </w:tcMar>
          </w:tcPr>
          <w:p>
            <w:pPr>
              <w:jc w:val="center"/>
            </w:pPr>
            <w:r>
              <w:rPr>
                <w:rFonts w:ascii="Arial" w:hAnsi="Arial"/>
                <w:b/>
                <w:color w:val="FFFFFF"/>
                <w:sz w:val="17"/>
              </w:rPr>
              <w:t>Proposed Upgrade / Solution</w:t>
            </w:r>
          </w:p>
        </w:tc>
      </w:tr>
      <w:tr>
        <w:tc>
          <w:tcPr>
            <w:tcW w:type="dxa" w:w="720"/>
            <w:shd w:fill="FFFFFF"/>
            <w:tcMar>
              <w:top w:w="60" w:type="dxa"/>
              <w:bottom w:w="60" w:type="dxa"/>
              <w:left w:w="50" w:type="dxa"/>
              <w:right w:w="50" w:type="dxa"/>
            </w:tcMar>
          </w:tcPr>
          <w:p>
            <w:pPr>
              <w:spacing w:after="0"/>
              <w:jc w:val="center"/>
            </w:pPr>
            <w:r>
              <w:rPr>
                <w:rFonts w:ascii="Arial" w:hAnsi="Arial"/>
                <w:b/>
                <w:sz w:val="16"/>
              </w:rPr>
              <w:t>1</w:t>
            </w:r>
          </w:p>
        </w:tc>
        <w:tc>
          <w:tcPr>
            <w:tcW w:type="dxa" w:w="2592"/>
            <w:shd w:fill="FFFFFF"/>
            <w:tcMar>
              <w:top w:w="60" w:type="dxa"/>
              <w:bottom w:w="60" w:type="dxa"/>
              <w:left w:w="50" w:type="dxa"/>
              <w:right w:w="50" w:type="dxa"/>
            </w:tcMar>
          </w:tcPr>
          <w:p>
            <w:pPr>
              <w:spacing w:after="0"/>
              <w:jc w:val="left"/>
            </w:pPr>
            <w:r>
              <w:rPr>
                <w:rFonts w:ascii="Arial" w:hAnsi="Arial"/>
                <w:b/>
                <w:color w:val="1E293B"/>
                <w:sz w:val="16"/>
              </w:rPr>
              <w:t>User Load</w:t>
            </w:r>
          </w:p>
        </w:tc>
        <w:tc>
          <w:tcPr>
            <w:tcW w:type="dxa" w:w="3312"/>
            <w:shd w:fill="FFFFFF"/>
            <w:tcMar>
              <w:top w:w="60" w:type="dxa"/>
              <w:bottom w:w="60" w:type="dxa"/>
              <w:left w:w="50" w:type="dxa"/>
              <w:right w:w="50" w:type="dxa"/>
            </w:tcMar>
          </w:tcPr>
          <w:p>
            <w:pPr>
              <w:spacing w:after="0"/>
              <w:jc w:val="left"/>
            </w:pPr>
            <w:r>
              <w:rPr>
                <w:rFonts w:ascii="Arial" w:hAnsi="Arial"/>
                <w:color w:val="334155"/>
                <w:sz w:val="16"/>
              </w:rPr>
              <w:t>Individual test user accounts with direct role assignments (bb1 to bb4).</w:t>
            </w:r>
          </w:p>
        </w:tc>
        <w:tc>
          <w:tcPr>
            <w:tcW w:type="dxa" w:w="3456"/>
            <w:shd w:fill="FFFFFF"/>
            <w:tcMar>
              <w:top w:w="60" w:type="dxa"/>
              <w:bottom w:w="60" w:type="dxa"/>
              <w:left w:w="50" w:type="dxa"/>
              <w:right w:w="50" w:type="dxa"/>
            </w:tcMar>
          </w:tcPr>
          <w:p>
            <w:pPr>
              <w:spacing w:after="0"/>
              <w:jc w:val="left"/>
            </w:pPr>
            <w:r>
              <w:rPr>
                <w:rFonts w:ascii="Arial" w:hAnsi="Arial"/>
                <w:color w:val="334155"/>
                <w:sz w:val="16"/>
              </w:rPr>
              <w:t>Migrate to ServiceNow Group-Based Role Assignment (sys_user_grmember), syncing automatically with university SSO/LDAP.</w:t>
            </w:r>
          </w:p>
        </w:tc>
      </w:tr>
      <w:tr>
        <w:tc>
          <w:tcPr>
            <w:tcW w:type="dxa" w:w="720"/>
            <w:shd w:fill="F8FAFC"/>
            <w:tcMar>
              <w:top w:w="60" w:type="dxa"/>
              <w:bottom w:w="60" w:type="dxa"/>
              <w:left w:w="50" w:type="dxa"/>
              <w:right w:w="50" w:type="dxa"/>
            </w:tcMar>
          </w:tcPr>
          <w:p>
            <w:pPr>
              <w:spacing w:after="0"/>
              <w:jc w:val="center"/>
            </w:pPr>
            <w:r>
              <w:rPr>
                <w:rFonts w:ascii="Arial" w:hAnsi="Arial"/>
                <w:b/>
                <w:sz w:val="16"/>
              </w:rPr>
              <w:t>2</w:t>
            </w:r>
          </w:p>
        </w:tc>
        <w:tc>
          <w:tcPr>
            <w:tcW w:type="dxa" w:w="2592"/>
            <w:shd w:fill="F8FAFC"/>
            <w:tcMar>
              <w:top w:w="60" w:type="dxa"/>
              <w:bottom w:w="60" w:type="dxa"/>
              <w:left w:w="50" w:type="dxa"/>
              <w:right w:w="50" w:type="dxa"/>
            </w:tcMar>
          </w:tcPr>
          <w:p>
            <w:pPr>
              <w:spacing w:after="0"/>
              <w:jc w:val="left"/>
            </w:pPr>
            <w:r>
              <w:rPr>
                <w:rFonts w:ascii="Arial" w:hAnsi="Arial"/>
                <w:b/>
                <w:color w:val="1E293B"/>
                <w:sz w:val="16"/>
              </w:rPr>
              <w:t>Data Storage</w:t>
            </w:r>
          </w:p>
        </w:tc>
        <w:tc>
          <w:tcPr>
            <w:tcW w:type="dxa" w:w="3312"/>
            <w:shd w:fill="F8FAFC"/>
            <w:tcMar>
              <w:top w:w="60" w:type="dxa"/>
              <w:bottom w:w="60" w:type="dxa"/>
              <w:left w:w="50" w:type="dxa"/>
              <w:right w:w="50" w:type="dxa"/>
            </w:tcMar>
          </w:tcPr>
          <w:p>
            <w:pPr>
              <w:spacing w:after="0"/>
              <w:jc w:val="left"/>
            </w:pPr>
            <w:r>
              <w:rPr>
                <w:rFonts w:ascii="Arial" w:hAnsi="Arial"/>
                <w:color w:val="334155"/>
                <w:sz w:val="16"/>
              </w:rPr>
              <w:t>Custom table 'u_institution_details' storing sample records in a single database partition.</w:t>
            </w:r>
          </w:p>
        </w:tc>
        <w:tc>
          <w:tcPr>
            <w:tcW w:type="dxa" w:w="3456"/>
            <w:shd w:fill="F8FAFC"/>
            <w:tcMar>
              <w:top w:w="60" w:type="dxa"/>
              <w:bottom w:w="60" w:type="dxa"/>
              <w:left w:w="50" w:type="dxa"/>
              <w:right w:w="50" w:type="dxa"/>
            </w:tcMar>
          </w:tcPr>
          <w:p>
            <w:pPr>
              <w:spacing w:after="0"/>
              <w:jc w:val="left"/>
            </w:pPr>
            <w:r>
              <w:rPr>
                <w:rFonts w:ascii="Arial" w:hAnsi="Arial"/>
                <w:color w:val="334155"/>
                <w:sz w:val="16"/>
              </w:rPr>
              <w:t>Implement Table Partitioning, Table Archive Rules, and composite indexing on (Branch, sys_id) for 100k+ records.</w:t>
            </w:r>
          </w:p>
        </w:tc>
      </w:tr>
      <w:tr>
        <w:tc>
          <w:tcPr>
            <w:tcW w:type="dxa" w:w="720"/>
            <w:shd w:fill="FFFFFF"/>
            <w:tcMar>
              <w:top w:w="60" w:type="dxa"/>
              <w:bottom w:w="60" w:type="dxa"/>
              <w:left w:w="50" w:type="dxa"/>
              <w:right w:w="50" w:type="dxa"/>
            </w:tcMar>
          </w:tcPr>
          <w:p>
            <w:pPr>
              <w:spacing w:after="0"/>
              <w:jc w:val="center"/>
            </w:pPr>
            <w:r>
              <w:rPr>
                <w:rFonts w:ascii="Arial" w:hAnsi="Arial"/>
                <w:b/>
                <w:sz w:val="16"/>
              </w:rPr>
              <w:t>3</w:t>
            </w:r>
          </w:p>
        </w:tc>
        <w:tc>
          <w:tcPr>
            <w:tcW w:type="dxa" w:w="2592"/>
            <w:shd w:fill="FFFFFF"/>
            <w:tcMar>
              <w:top w:w="60" w:type="dxa"/>
              <w:bottom w:w="60" w:type="dxa"/>
              <w:left w:w="50" w:type="dxa"/>
              <w:right w:w="50" w:type="dxa"/>
            </w:tcMar>
          </w:tcPr>
          <w:p>
            <w:pPr>
              <w:spacing w:after="0"/>
              <w:jc w:val="left"/>
            </w:pPr>
            <w:r>
              <w:rPr>
                <w:rFonts w:ascii="Arial" w:hAnsi="Arial"/>
                <w:b/>
                <w:color w:val="1E293B"/>
                <w:sz w:val="16"/>
              </w:rPr>
              <w:t>Performance</w:t>
            </w:r>
          </w:p>
        </w:tc>
        <w:tc>
          <w:tcPr>
            <w:tcW w:type="dxa" w:w="3312"/>
            <w:shd w:fill="FFFFFF"/>
            <w:tcMar>
              <w:top w:w="60" w:type="dxa"/>
              <w:bottom w:w="60" w:type="dxa"/>
              <w:left w:w="50" w:type="dxa"/>
              <w:right w:w="50" w:type="dxa"/>
            </w:tcMar>
          </w:tcPr>
          <w:p>
            <w:pPr>
              <w:spacing w:after="0"/>
              <w:jc w:val="left"/>
            </w:pPr>
            <w:r>
              <w:rPr>
                <w:rFonts w:ascii="Arial" w:hAnsi="Arial"/>
                <w:color w:val="334155"/>
                <w:sz w:val="16"/>
              </w:rPr>
              <w:t>Direct server-side JavaScript evaluation during each table query.</w:t>
            </w:r>
          </w:p>
        </w:tc>
        <w:tc>
          <w:tcPr>
            <w:tcW w:type="dxa" w:w="3456"/>
            <w:shd w:fill="FFFFFF"/>
            <w:tcMar>
              <w:top w:w="60" w:type="dxa"/>
              <w:bottom w:w="60" w:type="dxa"/>
              <w:left w:w="50" w:type="dxa"/>
              <w:right w:w="50" w:type="dxa"/>
            </w:tcMar>
          </w:tcPr>
          <w:p>
            <w:pPr>
              <w:spacing w:after="0"/>
              <w:jc w:val="left"/>
            </w:pPr>
            <w:r>
              <w:rPr>
                <w:rFonts w:ascii="Arial" w:hAnsi="Arial"/>
                <w:color w:val="334155"/>
                <w:sz w:val="16"/>
              </w:rPr>
              <w:t>Deploy Script Includes with cached role lookups, reducing server query overhead from &lt;80ms to &lt;20ms under heavy concurrency.</w:t>
            </w:r>
          </w:p>
        </w:tc>
      </w:tr>
      <w:tr>
        <w:tc>
          <w:tcPr>
            <w:tcW w:type="dxa" w:w="720"/>
            <w:shd w:fill="F8FAFC"/>
            <w:tcMar>
              <w:top w:w="60" w:type="dxa"/>
              <w:bottom w:w="60" w:type="dxa"/>
              <w:left w:w="50" w:type="dxa"/>
              <w:right w:w="50" w:type="dxa"/>
            </w:tcMar>
          </w:tcPr>
          <w:p>
            <w:pPr>
              <w:spacing w:after="0"/>
              <w:jc w:val="center"/>
            </w:pPr>
            <w:r>
              <w:rPr>
                <w:rFonts w:ascii="Arial" w:hAnsi="Arial"/>
                <w:b/>
                <w:sz w:val="16"/>
              </w:rPr>
              <w:t>4</w:t>
            </w:r>
          </w:p>
        </w:tc>
        <w:tc>
          <w:tcPr>
            <w:tcW w:type="dxa" w:w="2592"/>
            <w:shd w:fill="F8FAFC"/>
            <w:tcMar>
              <w:top w:w="60" w:type="dxa"/>
              <w:bottom w:w="60" w:type="dxa"/>
              <w:left w:w="50" w:type="dxa"/>
              <w:right w:w="50" w:type="dxa"/>
            </w:tcMar>
          </w:tcPr>
          <w:p>
            <w:pPr>
              <w:spacing w:after="0"/>
              <w:jc w:val="left"/>
            </w:pPr>
            <w:r>
              <w:rPr>
                <w:rFonts w:ascii="Arial" w:hAnsi="Arial"/>
                <w:b/>
                <w:color w:val="1E293B"/>
                <w:sz w:val="16"/>
              </w:rPr>
              <w:t>Security</w:t>
            </w:r>
          </w:p>
        </w:tc>
        <w:tc>
          <w:tcPr>
            <w:tcW w:type="dxa" w:w="3312"/>
            <w:shd w:fill="F8FAFC"/>
            <w:tcMar>
              <w:top w:w="60" w:type="dxa"/>
              <w:bottom w:w="60" w:type="dxa"/>
              <w:left w:w="50" w:type="dxa"/>
              <w:right w:w="50" w:type="dxa"/>
            </w:tcMar>
          </w:tcPr>
          <w:p>
            <w:pPr>
              <w:spacing w:after="0"/>
              <w:jc w:val="left"/>
            </w:pPr>
            <w:r>
              <w:rPr>
                <w:rFonts w:ascii="Arial" w:hAnsi="Arial"/>
                <w:color w:val="334155"/>
                <w:sz w:val="16"/>
              </w:rPr>
              <w:t>Static ACL rule matching 'Branch is EEE'.</w:t>
            </w:r>
          </w:p>
        </w:tc>
        <w:tc>
          <w:tcPr>
            <w:tcW w:type="dxa" w:w="3456"/>
            <w:shd w:fill="F8FAFC"/>
            <w:tcMar>
              <w:top w:w="60" w:type="dxa"/>
              <w:bottom w:w="60" w:type="dxa"/>
              <w:left w:w="50" w:type="dxa"/>
              <w:right w:w="50" w:type="dxa"/>
            </w:tcMar>
          </w:tcPr>
          <w:p>
            <w:pPr>
              <w:spacing w:after="0"/>
              <w:jc w:val="left"/>
            </w:pPr>
            <w:r>
              <w:rPr>
                <w:rFonts w:ascii="Arial" w:hAnsi="Arial"/>
                <w:color w:val="334155"/>
                <w:sz w:val="16"/>
              </w:rPr>
              <w:t>Implement Dynamic Script-Controlled ACLs matching user's department profile dynamically (current.branch == gs.getUser().getDepartment()).</w:t>
            </w:r>
          </w:p>
        </w:tc>
      </w:tr>
    </w:tbl>
    <w:p>
      <w:pPr>
        <w:spacing w:before="200" w:after="80"/>
      </w:pPr>
      <w:r>
        <w:rPr>
          <w:rFonts w:ascii="Arial" w:hAnsi="Arial"/>
          <w:b/>
          <w:color w:val="1E293B"/>
          <w:sz w:val="22"/>
        </w:rPr>
        <w:t>Future Roadmap:</w:t>
      </w:r>
    </w:p>
    <w:tbl>
      <w:tblPr>
        <w:tblW w:type="auto" w:w="0"/>
        <w:jc w:val="center"/>
        <w:tblLayout w:type="fixed"/>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2520"/>
        <w:gridCol w:w="2520"/>
        <w:gridCol w:w="2520"/>
        <w:gridCol w:w="2520"/>
      </w:tblGrid>
      <w:tr>
        <w:tc>
          <w:tcPr>
            <w:tcW w:type="dxa" w:w="1584"/>
            <w:shd w:fill="1E3A8A"/>
            <w:tcMar>
              <w:top w:w="80" w:type="dxa"/>
              <w:bottom w:w="80" w:type="dxa"/>
              <w:left w:w="50" w:type="dxa"/>
              <w:right w:w="50" w:type="dxa"/>
            </w:tcMar>
          </w:tcPr>
          <w:p>
            <w:pPr>
              <w:jc w:val="center"/>
            </w:pPr>
            <w:r>
              <w:rPr>
                <w:rFonts w:ascii="Arial" w:hAnsi="Arial"/>
                <w:b/>
                <w:color w:val="FFFFFF"/>
                <w:sz w:val="17"/>
              </w:rPr>
              <w:t>Phase</w:t>
            </w:r>
          </w:p>
        </w:tc>
        <w:tc>
          <w:tcPr>
            <w:tcW w:type="dxa" w:w="3888"/>
            <w:shd w:fill="1E3A8A"/>
            <w:tcMar>
              <w:top w:w="80" w:type="dxa"/>
              <w:bottom w:w="80" w:type="dxa"/>
              <w:left w:w="50" w:type="dxa"/>
              <w:right w:w="50" w:type="dxa"/>
            </w:tcMar>
          </w:tcPr>
          <w:p>
            <w:pPr>
              <w:jc w:val="center"/>
            </w:pPr>
            <w:r>
              <w:rPr>
                <w:rFonts w:ascii="Arial" w:hAnsi="Arial"/>
                <w:b/>
                <w:color w:val="FFFFFF"/>
                <w:sz w:val="17"/>
              </w:rPr>
              <w:t>Planned Feature / Enhancement</w:t>
            </w:r>
          </w:p>
        </w:tc>
        <w:tc>
          <w:tcPr>
            <w:tcW w:type="dxa" w:w="1872"/>
            <w:shd w:fill="1E3A8A"/>
            <w:tcMar>
              <w:top w:w="80" w:type="dxa"/>
              <w:bottom w:w="80" w:type="dxa"/>
              <w:left w:w="50" w:type="dxa"/>
              <w:right w:w="50" w:type="dxa"/>
            </w:tcMar>
          </w:tcPr>
          <w:p>
            <w:pPr>
              <w:jc w:val="center"/>
            </w:pPr>
            <w:r>
              <w:rPr>
                <w:rFonts w:ascii="Arial" w:hAnsi="Arial"/>
                <w:b/>
                <w:color w:val="FFFFFF"/>
                <w:sz w:val="17"/>
              </w:rPr>
              <w:t>Target Timeline</w:t>
            </w:r>
          </w:p>
        </w:tc>
        <w:tc>
          <w:tcPr>
            <w:tcW w:type="dxa" w:w="2736"/>
            <w:shd w:fill="1E3A8A"/>
            <w:tcMar>
              <w:top w:w="80" w:type="dxa"/>
              <w:bottom w:w="80" w:type="dxa"/>
              <w:left w:w="50" w:type="dxa"/>
              <w:right w:w="50" w:type="dxa"/>
            </w:tcMar>
          </w:tcPr>
          <w:p>
            <w:pPr>
              <w:jc w:val="center"/>
            </w:pPr>
            <w:r>
              <w:rPr>
                <w:rFonts w:ascii="Arial" w:hAnsi="Arial"/>
                <w:b/>
                <w:color w:val="FFFFFF"/>
                <w:sz w:val="17"/>
              </w:rPr>
              <w:t>Expected Impact</w:t>
            </w:r>
          </w:p>
        </w:tc>
      </w:tr>
      <w:tr>
        <w:tc>
          <w:tcPr>
            <w:tcW w:type="dxa" w:w="1584"/>
            <w:shd w:fill="FFFFFF"/>
            <w:tcMar>
              <w:top w:w="60" w:type="dxa"/>
              <w:bottom w:w="60" w:type="dxa"/>
              <w:left w:w="50" w:type="dxa"/>
              <w:right w:w="50" w:type="dxa"/>
            </w:tcMar>
          </w:tcPr>
          <w:p>
            <w:pPr>
              <w:spacing w:after="0"/>
              <w:jc w:val="center"/>
            </w:pPr>
            <w:r>
              <w:rPr>
                <w:rFonts w:ascii="Arial" w:hAnsi="Arial"/>
                <w:b/>
                <w:color w:val="184C78"/>
                <w:sz w:val="16"/>
              </w:rPr>
              <w:t>Phase 2</w:t>
            </w:r>
          </w:p>
        </w:tc>
        <w:tc>
          <w:tcPr>
            <w:tcW w:type="dxa" w:w="3888"/>
            <w:shd w:fill="FFFFFF"/>
            <w:tcMar>
              <w:top w:w="60" w:type="dxa"/>
              <w:bottom w:w="60" w:type="dxa"/>
              <w:left w:w="50" w:type="dxa"/>
              <w:right w:w="50" w:type="dxa"/>
            </w:tcMar>
          </w:tcPr>
          <w:p>
            <w:pPr>
              <w:spacing w:after="0"/>
              <w:jc w:val="left"/>
            </w:pPr>
            <w:r>
              <w:rPr>
                <w:rFonts w:ascii="Arial" w:hAnsi="Arial"/>
                <w:color w:val="334155"/>
                <w:sz w:val="16"/>
              </w:rPr>
              <w:t>Multi-Department Dynamic Segregation: Replace static branch matching with dynamic user-department comparison across all university departments (ECE, CSE, MECH, CIVIL).</w:t>
            </w:r>
          </w:p>
        </w:tc>
        <w:tc>
          <w:tcPr>
            <w:tcW w:type="dxa" w:w="1872"/>
            <w:shd w:fill="FFFFFF"/>
            <w:tcMar>
              <w:top w:w="60" w:type="dxa"/>
              <w:bottom w:w="60" w:type="dxa"/>
              <w:left w:w="50" w:type="dxa"/>
              <w:right w:w="50" w:type="dxa"/>
            </w:tcMar>
          </w:tcPr>
          <w:p>
            <w:pPr>
              <w:spacing w:after="0"/>
              <w:jc w:val="center"/>
            </w:pPr>
            <w:r>
              <w:rPr>
                <w:rFonts w:ascii="Arial" w:hAnsi="Arial"/>
                <w:sz w:val="16"/>
              </w:rPr>
              <w:t>Q4 2026</w:t>
            </w:r>
          </w:p>
        </w:tc>
        <w:tc>
          <w:tcPr>
            <w:tcW w:type="dxa" w:w="2736"/>
            <w:shd w:fill="FFFFFF"/>
            <w:tcMar>
              <w:top w:w="60" w:type="dxa"/>
              <w:bottom w:w="60" w:type="dxa"/>
              <w:left w:w="50" w:type="dxa"/>
              <w:right w:w="50" w:type="dxa"/>
            </w:tcMar>
          </w:tcPr>
          <w:p>
            <w:pPr>
              <w:spacing w:after="0"/>
              <w:jc w:val="left"/>
            </w:pPr>
            <w:r>
              <w:rPr>
                <w:rFonts w:ascii="Arial" w:hAnsi="Arial"/>
                <w:color w:val="334155"/>
                <w:sz w:val="16"/>
              </w:rPr>
              <w:t>Eliminates redundant ACL rules; zero maintenance when onboarding new academic branches.</w:t>
            </w:r>
          </w:p>
        </w:tc>
      </w:tr>
      <w:tr>
        <w:tc>
          <w:tcPr>
            <w:tcW w:type="dxa" w:w="1584"/>
            <w:shd w:fill="F8FAFC"/>
            <w:tcMar>
              <w:top w:w="60" w:type="dxa"/>
              <w:bottom w:w="60" w:type="dxa"/>
              <w:left w:w="50" w:type="dxa"/>
              <w:right w:w="50" w:type="dxa"/>
            </w:tcMar>
          </w:tcPr>
          <w:p>
            <w:pPr>
              <w:spacing w:after="0"/>
              <w:jc w:val="center"/>
            </w:pPr>
            <w:r>
              <w:rPr>
                <w:rFonts w:ascii="Arial" w:hAnsi="Arial"/>
                <w:b/>
                <w:color w:val="184C78"/>
                <w:sz w:val="16"/>
              </w:rPr>
              <w:t>Phase 3</w:t>
            </w:r>
          </w:p>
        </w:tc>
        <w:tc>
          <w:tcPr>
            <w:tcW w:type="dxa" w:w="3888"/>
            <w:shd w:fill="F8FAFC"/>
            <w:tcMar>
              <w:top w:w="60" w:type="dxa"/>
              <w:bottom w:w="60" w:type="dxa"/>
              <w:left w:w="50" w:type="dxa"/>
              <w:right w:w="50" w:type="dxa"/>
            </w:tcMar>
          </w:tcPr>
          <w:p>
            <w:pPr>
              <w:spacing w:after="0"/>
              <w:jc w:val="left"/>
            </w:pPr>
            <w:r>
              <w:rPr>
                <w:rFonts w:ascii="Arial" w:hAnsi="Arial"/>
                <w:color w:val="334155"/>
                <w:sz w:val="16"/>
              </w:rPr>
              <w:t>Service Portal Integration &amp; Custom Widget Security: Implement secured Service Portal widgets using GlideRecordSecure and REST Table API authentication.</w:t>
            </w:r>
          </w:p>
        </w:tc>
        <w:tc>
          <w:tcPr>
            <w:tcW w:type="dxa" w:w="1872"/>
            <w:shd w:fill="F8FAFC"/>
            <w:tcMar>
              <w:top w:w="60" w:type="dxa"/>
              <w:bottom w:w="60" w:type="dxa"/>
              <w:left w:w="50" w:type="dxa"/>
              <w:right w:w="50" w:type="dxa"/>
            </w:tcMar>
          </w:tcPr>
          <w:p>
            <w:pPr>
              <w:spacing w:after="0"/>
              <w:jc w:val="center"/>
            </w:pPr>
            <w:r>
              <w:rPr>
                <w:rFonts w:ascii="Arial" w:hAnsi="Arial"/>
                <w:sz w:val="16"/>
              </w:rPr>
              <w:t>Q1 2027</w:t>
            </w:r>
          </w:p>
        </w:tc>
        <w:tc>
          <w:tcPr>
            <w:tcW w:type="dxa" w:w="2736"/>
            <w:shd w:fill="F8FAFC"/>
            <w:tcMar>
              <w:top w:w="60" w:type="dxa"/>
              <w:bottom w:w="60" w:type="dxa"/>
              <w:left w:w="50" w:type="dxa"/>
              <w:right w:w="50" w:type="dxa"/>
            </w:tcMar>
          </w:tcPr>
          <w:p>
            <w:pPr>
              <w:spacing w:after="0"/>
              <w:jc w:val="left"/>
            </w:pPr>
            <w:r>
              <w:rPr>
                <w:rFonts w:ascii="Arial" w:hAnsi="Arial"/>
                <w:color w:val="334155"/>
                <w:sz w:val="16"/>
              </w:rPr>
              <w:t>Enables self-service student/faculty portal with guaranteed zero cross-branch data leaks.</w:t>
            </w:r>
          </w:p>
        </w:tc>
      </w:tr>
      <w:tr>
        <w:tc>
          <w:tcPr>
            <w:tcW w:type="dxa" w:w="1584"/>
            <w:shd w:fill="FFFFFF"/>
            <w:tcMar>
              <w:top w:w="60" w:type="dxa"/>
              <w:bottom w:w="60" w:type="dxa"/>
              <w:left w:w="50" w:type="dxa"/>
              <w:right w:w="50" w:type="dxa"/>
            </w:tcMar>
          </w:tcPr>
          <w:p>
            <w:pPr>
              <w:spacing w:after="0"/>
              <w:jc w:val="center"/>
            </w:pPr>
            <w:r>
              <w:rPr>
                <w:rFonts w:ascii="Arial" w:hAnsi="Arial"/>
                <w:b/>
                <w:color w:val="184C78"/>
                <w:sz w:val="16"/>
              </w:rPr>
              <w:t>Phase 4</w:t>
            </w:r>
          </w:p>
        </w:tc>
        <w:tc>
          <w:tcPr>
            <w:tcW w:type="dxa" w:w="3888"/>
            <w:shd w:fill="FFFFFF"/>
            <w:tcMar>
              <w:top w:w="60" w:type="dxa"/>
              <w:bottom w:w="60" w:type="dxa"/>
              <w:left w:w="50" w:type="dxa"/>
              <w:right w:w="50" w:type="dxa"/>
            </w:tcMar>
          </w:tcPr>
          <w:p>
            <w:pPr>
              <w:spacing w:after="0"/>
              <w:jc w:val="left"/>
            </w:pPr>
            <w:r>
              <w:rPr>
                <w:rFonts w:ascii="Arial" w:hAnsi="Arial"/>
                <w:color w:val="334155"/>
                <w:sz w:val="16"/>
              </w:rPr>
              <w:t>Automated Security Audit &amp; Compliance Analytics: Implement automated scheduled jobs and Performance Analytics dashboards tracking ACL evaluation traces.</w:t>
            </w:r>
          </w:p>
        </w:tc>
        <w:tc>
          <w:tcPr>
            <w:tcW w:type="dxa" w:w="1872"/>
            <w:shd w:fill="FFFFFF"/>
            <w:tcMar>
              <w:top w:w="60" w:type="dxa"/>
              <w:bottom w:w="60" w:type="dxa"/>
              <w:left w:w="50" w:type="dxa"/>
              <w:right w:w="50" w:type="dxa"/>
            </w:tcMar>
          </w:tcPr>
          <w:p>
            <w:pPr>
              <w:spacing w:after="0"/>
              <w:jc w:val="center"/>
            </w:pPr>
            <w:r>
              <w:rPr>
                <w:rFonts w:ascii="Arial" w:hAnsi="Arial"/>
                <w:sz w:val="16"/>
              </w:rPr>
              <w:t>Q2 2027</w:t>
            </w:r>
          </w:p>
        </w:tc>
        <w:tc>
          <w:tcPr>
            <w:tcW w:type="dxa" w:w="2736"/>
            <w:shd w:fill="FFFFFF"/>
            <w:tcMar>
              <w:top w:w="60" w:type="dxa"/>
              <w:bottom w:w="60" w:type="dxa"/>
              <w:left w:w="50" w:type="dxa"/>
              <w:right w:w="50" w:type="dxa"/>
            </w:tcMar>
          </w:tcPr>
          <w:p>
            <w:pPr>
              <w:spacing w:after="0"/>
              <w:jc w:val="left"/>
            </w:pPr>
            <w:r>
              <w:rPr>
                <w:rFonts w:ascii="Arial" w:hAnsi="Arial"/>
                <w:color w:val="334155"/>
                <w:sz w:val="16"/>
              </w:rPr>
              <w:t>Provides real-time compliance reporting for institutional accreditation and FERPA audits.</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