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84C78"/>
          <w:sz w:val="28"/>
        </w:rPr>
        <w:t>SMARTBRIDGE</w:t>
      </w:r>
    </w:p>
    <w:p>
      <w:pPr>
        <w:spacing w:before="0" w:after="240"/>
      </w:pPr>
      <w:r>
        <w:rPr>
          <w:rFonts w:ascii="Arial" w:hAnsi="Arial"/>
          <w:i/>
          <w:color w:val="646E78"/>
          <w:sz w:val="19"/>
        </w:rPr>
        <w:t>Let's Bridge the Gap | SKILL WALLET - A SmartBridge Product</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5040"/>
        <w:gridCol w:w="5040"/>
      </w:tblGrid>
      <w:tr>
        <w:tc>
          <w:tcPr>
            <w:tcW w:type="dxa" w:w="2592"/>
            <w:shd w:fill="F0F4F8"/>
            <w:tcMar>
              <w:top w:w="100" w:type="dxa"/>
              <w:bottom w:w="100" w:type="dxa"/>
              <w:left w:w="140" w:type="dxa"/>
              <w:right w:w="140" w:type="dxa"/>
            </w:tcMar>
          </w:tcPr>
          <w:p>
            <w:pPr>
              <w:spacing w:after="0"/>
            </w:pPr>
            <w:r>
              <w:rPr>
                <w:rFonts w:ascii="Arial" w:hAnsi="Arial"/>
                <w:b/>
                <w:color w:val="1E293B"/>
                <w:sz w:val="20"/>
              </w:rPr>
              <w:t>Date</w:t>
            </w:r>
          </w:p>
        </w:tc>
        <w:tc>
          <w:tcPr>
            <w:tcW w:type="dxa" w:w="7056"/>
            <w:shd w:fill="FFFFFF"/>
            <w:tcMar>
              <w:top w:w="100" w:type="dxa"/>
              <w:bottom w:w="100" w:type="dxa"/>
              <w:left w:w="140" w:type="dxa"/>
              <w:right w:w="140" w:type="dxa"/>
            </w:tcMar>
          </w:tcPr>
          <w:p>
            <w:pPr>
              <w:spacing w:after="0"/>
            </w:pPr>
            <w:r>
              <w:rPr>
                <w:rFonts w:ascii="Arial" w:hAnsi="Arial"/>
                <w:color w:val="0F172A"/>
                <w:sz w:val="20"/>
              </w:rPr>
              <w:t>29-09-2026</w:t>
            </w:r>
          </w:p>
        </w:tc>
      </w:tr>
      <w:tr>
        <w:tc>
          <w:tcPr>
            <w:tcW w:type="dxa" w:w="2592"/>
            <w:shd w:fill="F0F4F8"/>
            <w:tcMar>
              <w:top w:w="100" w:type="dxa"/>
              <w:bottom w:w="100" w:type="dxa"/>
              <w:left w:w="140" w:type="dxa"/>
              <w:right w:w="140" w:type="dxa"/>
            </w:tcMar>
          </w:tcPr>
          <w:p>
            <w:pPr>
              <w:spacing w:after="0"/>
            </w:pPr>
            <w:r>
              <w:rPr>
                <w:rFonts w:ascii="Arial" w:hAnsi="Arial"/>
                <w:b/>
                <w:color w:val="1E293B"/>
                <w:sz w:val="20"/>
              </w:rPr>
              <w:t>Team ID</w:t>
            </w:r>
          </w:p>
        </w:tc>
        <w:tc>
          <w:tcPr>
            <w:tcW w:type="dxa" w:w="7056"/>
            <w:shd w:fill="FFFFFF"/>
            <w:tcMar>
              <w:top w:w="100" w:type="dxa"/>
              <w:bottom w:w="100" w:type="dxa"/>
              <w:left w:w="140" w:type="dxa"/>
              <w:right w:w="140" w:type="dxa"/>
            </w:tcMar>
          </w:tcPr>
          <w:p>
            <w:pPr>
              <w:spacing w:after="0"/>
            </w:pPr>
            <w:r>
              <w:rPr>
                <w:rFonts w:ascii="Arial" w:hAnsi="Arial"/>
                <w:color w:val="0F172A"/>
                <w:sz w:val="20"/>
              </w:rPr>
              <w:t>SWTID-2026-7804</w:t>
            </w:r>
          </w:p>
        </w:tc>
      </w:tr>
      <w:tr>
        <w:tc>
          <w:tcPr>
            <w:tcW w:type="dxa" w:w="2592"/>
            <w:shd w:fill="F0F4F8"/>
            <w:tcMar>
              <w:top w:w="100" w:type="dxa"/>
              <w:bottom w:w="100" w:type="dxa"/>
              <w:left w:w="140" w:type="dxa"/>
              <w:right w:w="140" w:type="dxa"/>
            </w:tcMar>
          </w:tcPr>
          <w:p>
            <w:pPr>
              <w:spacing w:after="0"/>
            </w:pPr>
            <w:r>
              <w:rPr>
                <w:rFonts w:ascii="Arial" w:hAnsi="Arial"/>
                <w:b/>
                <w:color w:val="1E293B"/>
                <w:sz w:val="20"/>
              </w:rPr>
              <w:t>Project Name</w:t>
            </w:r>
          </w:p>
        </w:tc>
        <w:tc>
          <w:tcPr>
            <w:tcW w:type="dxa" w:w="7056"/>
            <w:shd w:fill="FFFFFF"/>
            <w:tcMar>
              <w:top w:w="100" w:type="dxa"/>
              <w:bottom w:w="100" w:type="dxa"/>
              <w:left w:w="140" w:type="dxa"/>
              <w:right w:w="140" w:type="dxa"/>
            </w:tcMar>
          </w:tcPr>
          <w:p>
            <w:pPr>
              <w:spacing w:after="0"/>
            </w:pPr>
            <w:r>
              <w:rPr>
                <w:rFonts w:ascii="Arial" w:hAnsi="Arial"/>
                <w:color w:val="0F172A"/>
                <w:sz w:val="20"/>
              </w:rPr>
              <w:t>Script-Controlled ACL – Restrict Record Access Based on Field Value</w:t>
            </w:r>
          </w:p>
        </w:tc>
      </w:tr>
    </w:tbl>
    <w:p>
      <w:pPr>
        <w:spacing w:before="160" w:after="160"/>
      </w:pPr>
    </w:p>
    <w:p>
      <w:pPr>
        <w:spacing w:before="80" w:after="80"/>
      </w:pPr>
      <w:r>
        <w:rPr>
          <w:rFonts w:ascii="Arial" w:hAnsi="Arial"/>
          <w:b/>
          <w:color w:val="184C78"/>
          <w:sz w:val="28"/>
        </w:rPr>
        <w:t>Script-Controlled ACL – Restrict Record Access Based on Field Value</w:t>
        <w:br/>
        <w:t>Comprehensive Project Documentation Report</w:t>
      </w:r>
    </w:p>
    <w:p>
      <w:pPr>
        <w:spacing w:before="120" w:after="60"/>
      </w:pPr>
      <w:r>
        <w:rPr>
          <w:rFonts w:ascii="Arial" w:hAnsi="Arial"/>
          <w:b/>
          <w:color w:val="1E293B"/>
          <w:sz w:val="22"/>
        </w:rPr>
        <w:t>Project Description:</w:t>
      </w:r>
    </w:p>
    <w:p>
      <w:r>
        <w:rPr>
          <w:rFonts w:ascii="Arial" w:hAnsi="Arial"/>
          <w:color w:val="334155"/>
          <w:sz w:val="17"/>
        </w:rPr>
        <w:t>In institutional and enterprise IT service management environments, securing sensitive student and organizational records at the row and column level is vital to maintain confidentiality, regulatory compliance (such as FERPA), and operational integrity. This project implements a server-side Script-Controlled Access Control List (ACL) framework on ServiceNow to enforce dynamic record-level security based on field values. Specifically, within an institution details table ('u_institution_details'), only users belonging to the Electrical and Electronics Engineering (EEE) branch possessing the designated security role ('bb1') are permitted to view records where the Branch field is explicitly set to 'EEE'. At the same time, System Administrators retain unrestricted access across all institutional branches.</w:t>
        <w:br/>
        <w:br/>
        <w:t>To establish a comprehensive least-privilege architecture, four discrete server-side ACLs govern full CRUD operations: Read ACL (bb1 role + branch condition + JavaScript script), Create ACL (bb2 role), Write ACL (bb3 role), and Delete ACL (bb4 role). All changes were captured within a dedicated global update set ('ACL Project [Global]') and rigorously validated via multi-persona user impersonation testing.</w:t>
      </w:r>
    </w:p>
    <w:p>
      <w:pPr>
        <w:spacing w:before="160" w:after="60"/>
      </w:pPr>
      <w:r>
        <w:rPr>
          <w:rFonts w:ascii="Arial" w:hAnsi="Arial"/>
          <w:b/>
          <w:color w:val="1E293B"/>
          <w:sz w:val="22"/>
        </w:rPr>
        <w:t>Project Implementation Scenarios:</w:t>
      </w:r>
    </w:p>
    <w:p>
      <w:pPr>
        <w:spacing w:after="80"/>
      </w:pPr>
      <w:r>
        <w:rPr>
          <w:rFonts w:ascii="Arial" w:hAnsi="Arial"/>
          <w:b/>
          <w:color w:val="184C78"/>
          <w:sz w:val="17"/>
        </w:rPr>
        <w:t>Scenario 1: Departmental Read Access Restriction (EEE User):</w:t>
        <w:br/>
      </w:r>
      <w:r>
        <w:rPr>
          <w:rFonts w:ascii="Arial" w:hAnsi="Arial"/>
          <w:color w:val="334155"/>
          <w:sz w:val="16"/>
        </w:rPr>
        <w:t>A departmental coordinator (User ID: EEE User) assigned the 'bb1' custom role logs into the ServiceNow instance and accesses the 'u_institution_details' list. The script-controlled ACL evaluates both the user's role and the record's Branch field value. The user sees strictly the 2 records where Branch == 'EEE' (e.g., INS0001007 and INS0001004). Cross-department records for ECE (INS0001005, INS0001006) and CSE (INS0001001, INS0001008) are completely hidden, eliminating unauthorized data leakage.</w:t>
      </w:r>
    </w:p>
    <w:p>
      <w:pPr>
        <w:spacing w:after="80"/>
      </w:pPr>
      <w:r>
        <w:rPr>
          <w:rFonts w:ascii="Arial" w:hAnsi="Arial"/>
          <w:b/>
          <w:color w:val="184C78"/>
          <w:sz w:val="17"/>
        </w:rPr>
        <w:t>Scenario 2: Granular CRUD Governance (Create, Write, Delete Permissions):</w:t>
        <w:br/>
      </w:r>
      <w:r>
        <w:rPr>
          <w:rFonts w:ascii="Arial" w:hAnsi="Arial"/>
          <w:color w:val="334155"/>
          <w:sz w:val="16"/>
        </w:rPr>
        <w:t>When EEE User is assigned role 'bb2', the UI dynamically reveals the 'New' record button, enabling new EEE student record entries. When granted 'bb3', the user can modify fields (such as updating description notes to 'ACL is Executed'). When granted 'bb4', the user is authorized to delete records via list actions. Users lacking these specific roles are blocked server-side from performing unauthorized modifications.</w:t>
      </w:r>
    </w:p>
    <w:p>
      <w:pPr>
        <w:spacing w:after="80"/>
      </w:pPr>
      <w:r>
        <w:rPr>
          <w:rFonts w:ascii="Arial" w:hAnsi="Arial"/>
          <w:b/>
          <w:color w:val="184C78"/>
          <w:sz w:val="17"/>
        </w:rPr>
        <w:t>Scenario 3: Administrative Global Oversight &amp; Non-Role Zero-Trust Denial:</w:t>
        <w:br/>
      </w:r>
      <w:r>
        <w:rPr>
          <w:rFonts w:ascii="Arial" w:hAnsi="Arial"/>
          <w:color w:val="334155"/>
          <w:sz w:val="16"/>
        </w:rPr>
        <w:t>A System Administrator elevates to the 'security_admin' role and navigates to the Institution Details table. The script logic explicitly detects gs.hasRole('admin') and grants complete, unrestricted visibility across all 6 records spanning ECE, CSE, and EEE branches. Conversely, a general user lacking custom roles attempting to access the table receives an immediate 'No records to display' screen.</w:t>
      </w:r>
    </w:p>
    <w:p>
      <w:pPr>
        <w:spacing w:before="160" w:after="80"/>
      </w:pPr>
      <w:r>
        <w:rPr>
          <w:rFonts w:ascii="Arial" w:hAnsi="Arial"/>
          <w:b/>
          <w:color w:val="1E293B"/>
          <w:sz w:val="22"/>
        </w:rPr>
        <w:t>Technical Architecture &amp; System Flow:</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10080"/>
      </w:tblGrid>
      <w:tr>
        <w:tc>
          <w:tcPr>
            <w:tcW w:type="dxa" w:w="10080"/>
            <w:shd w:fill="F8FAFC"/>
            <w:tcMar>
              <w:top w:w="100" w:type="dxa"/>
              <w:bottom w:w="100" w:type="dxa"/>
              <w:left w:w="120" w:type="dxa"/>
              <w:right w:w="120" w:type="dxa"/>
            </w:tcMar>
          </w:tcPr>
          <w:p>
            <w:pPr>
              <w:spacing w:after="0"/>
            </w:pPr>
            <w:r>
              <w:rPr>
                <w:rFonts w:ascii="Courier New" w:hAnsi="Courier New"/>
                <w:color w:val="1E293B"/>
                <w:sz w:val="15"/>
              </w:rPr>
              <w:t>[Client Tier / Next Experience UI]</w:t>
              <w:br/>
              <w:t xml:space="preserve">  • EEE User Form &amp; List View | System Administrator Dashboard | REST API Endpoints</w:t>
              <w:br/>
              <w:t xml:space="preserve">                           │</w:t>
              <w:br/>
              <w:t xml:space="preserve">                           ▼ (HTTPS / GlideRequest)</w:t>
              <w:br/>
              <w:t>[Security Tier / Authorization Gateway]</w:t>
              <w:br/>
              <w:t xml:space="preserve">  • Session Role Context Resolution (sys_user_has_role)</w:t>
              <w:br/>
              <w:t xml:space="preserve">  • Elevated Privilege Verifier (security_admin)</w:t>
              <w:br/>
              <w:t xml:space="preserve">                           │</w:t>
              <w:br/>
              <w:t xml:space="preserve">                           ▼</w:t>
              <w:br/>
              <w:t>[Server-Side Script-Controlled ACL Execution Engine]</w:t>
              <w:br/>
              <w:t xml:space="preserve">  • Check Table-Level Role Requirement (bb1 / bb2 / bb3 / bb4)</w:t>
              <w:br/>
              <w:t xml:space="preserve">  • Evaluate Field Condition: [Branch] [is] [EEE]</w:t>
              <w:br/>
              <w:t xml:space="preserve">  • Execute Advanced JavaScript Script:</w:t>
              <w:br/>
              <w:t xml:space="preserve">      (function() {</w:t>
              <w:br/>
              <w:t xml:space="preserve">         if (gs.hasRole('admin')) return true;</w:t>
              <w:br/>
              <w:t xml:space="preserve">         if (gs.hasRole('bb1')) return true;</w:t>
              <w:br/>
              <w:t xml:space="preserve">         return false;</w:t>
              <w:br/>
              <w:t xml:space="preserve">      })();</w:t>
              <w:br/>
              <w:t xml:space="preserve">                           │</w:t>
              <w:br/>
              <w:t xml:space="preserve">           ┌───────────────┴───────────────┐</w:t>
              <w:br/>
              <w:t xml:space="preserve">     [Result: TRUE]                  [Result: FALSE]</w:t>
              <w:br/>
              <w:t xml:space="preserve">           │                               │</w:t>
              <w:br/>
              <w:t xml:space="preserve">           ▼                               ▼</w:t>
              <w:br/>
              <w:t>[Data Tier: u_institution_details]   [Display Security Denied / Empty List]</w:t>
              <w:br/>
              <w:t xml:space="preserve">  • Returns 2 EEE Records Only         • 'No records to display' (Zero Leakage)</w:t>
            </w:r>
          </w:p>
        </w:tc>
      </w:tr>
    </w:tbl>
    <w:p>
      <w:pPr>
        <w:spacing w:before="120" w:after="120"/>
      </w:pPr>
      <w:r>
        <w:rPr>
          <w:rFonts w:ascii="Arial" w:hAnsi="Arial"/>
          <w:color w:val="475569"/>
          <w:sz w:val="16"/>
        </w:rPr>
        <w:t>Architecture Description: The architecture adheres to a robust 3-tier enterprise pattern comprising Presentation, Security/Application, and Relational Database layers. The client layer renders dynamic forms and tables. Requests trigger the ServiceNow ACL engine, which applies a 3-stage validation pipeline: (1) Role Verification, (2) Field Condition Matching, and (3) Advanced Script Evaluation. This guarantees that access decisions cannot be circumvented via client modifications or API payloads.</w:t>
      </w:r>
    </w:p>
    <w:p>
      <w:pPr>
        <w:spacing w:before="160" w:after="60"/>
      </w:pPr>
      <w:r>
        <w:rPr>
          <w:rFonts w:ascii="Arial" w:hAnsi="Arial"/>
          <w:b/>
          <w:color w:val="1E293B"/>
          <w:sz w:val="22"/>
        </w:rPr>
        <w:t>Pre-requisites:</w:t>
      </w:r>
    </w:p>
    <w:p>
      <w:pPr>
        <w:spacing w:after="20"/>
      </w:pPr>
      <w:r>
        <w:rPr>
          <w:rFonts w:ascii="Arial" w:hAnsi="Arial"/>
          <w:color w:val="334155"/>
          <w:sz w:val="16"/>
        </w:rPr>
        <w:t>• ServiceNow Administration Fundamentals: Familiarity with User Administration, Tables, and Application Navigator.</w:t>
      </w:r>
    </w:p>
    <w:p>
      <w:pPr>
        <w:spacing w:after="20"/>
      </w:pPr>
      <w:r>
        <w:rPr>
          <w:rFonts w:ascii="Arial" w:hAnsi="Arial"/>
          <w:color w:val="334155"/>
          <w:sz w:val="16"/>
        </w:rPr>
        <w:t>• ServiceNow High Security Management: Understanding of elevated roles ('security_admin') and ACL evaluation hierarchies.</w:t>
      </w:r>
    </w:p>
    <w:p>
      <w:pPr>
        <w:spacing w:after="20"/>
      </w:pPr>
      <w:r>
        <w:rPr>
          <w:rFonts w:ascii="Arial" w:hAnsi="Arial"/>
          <w:color w:val="334155"/>
          <w:sz w:val="16"/>
        </w:rPr>
        <w:t>• Server-Side JavaScript &amp; Glide APIs: Proficiency with ECMAScript, GlideSystem ('gs.hasRole()'), and GlideRecord context.</w:t>
      </w:r>
    </w:p>
    <w:p>
      <w:pPr>
        <w:spacing w:after="20"/>
      </w:pPr>
      <w:r>
        <w:rPr>
          <w:rFonts w:ascii="Arial" w:hAnsi="Arial"/>
          <w:color w:val="334155"/>
          <w:sz w:val="16"/>
        </w:rPr>
        <w:t>• Relational Data Modeling: Custom table schema configuration ('u_institution_details'), choice fields, and reference fields.</w:t>
      </w:r>
    </w:p>
    <w:p>
      <w:pPr>
        <w:spacing w:after="20"/>
      </w:pPr>
      <w:r>
        <w:rPr>
          <w:rFonts w:ascii="Arial" w:hAnsi="Arial"/>
          <w:color w:val="334155"/>
          <w:sz w:val="16"/>
        </w:rPr>
        <w:t>• Update Set &amp; Deployment Governance: Knowledge of capturing artifacts in global update sets ('ACL Project') for export.</w:t>
      </w:r>
    </w:p>
    <w:p>
      <w:pPr>
        <w:spacing w:after="20"/>
      </w:pPr>
      <w:r>
        <w:rPr>
          <w:rFonts w:ascii="Arial" w:hAnsi="Arial"/>
          <w:color w:val="334155"/>
          <w:sz w:val="16"/>
        </w:rPr>
        <w:t>• Testing &amp; Auditing Methodologies: Experience conducting multi-persona user impersonation testing across Admin and End-User profiles.</w:t>
      </w:r>
    </w:p>
    <w:p>
      <w:pPr>
        <w:spacing w:before="160" w:after="80"/>
      </w:pPr>
      <w:r>
        <w:rPr>
          <w:rFonts w:ascii="Arial" w:hAnsi="Arial"/>
          <w:b/>
          <w:color w:val="1E293B"/>
          <w:sz w:val="22"/>
        </w:rPr>
        <w:t>Project Workflow &amp; Implementation Milestones:</w:t>
      </w:r>
    </w:p>
    <w:p>
      <w:pPr>
        <w:spacing w:before="80" w:after="40"/>
      </w:pPr>
      <w:r>
        <w:rPr>
          <w:rFonts w:ascii="Arial" w:hAnsi="Arial"/>
          <w:b/>
          <w:color w:val="184C78"/>
          <w:sz w:val="17"/>
        </w:rPr>
        <w:t>Milestone 1: Creation of Users and Custom Security Roles</w:t>
        <w:br/>
      </w:r>
      <w:r>
        <w:rPr>
          <w:rFonts w:ascii="Arial" w:hAnsi="Arial"/>
          <w:color w:val="334155"/>
          <w:sz w:val="16"/>
        </w:rPr>
        <w:t>• Activity 1.1: Logged into ServiceNow with admin credentials and navigated to User Administration → Users.</w:t>
        <w:br/>
        <w:t>• Activity 1.2: Created test user 'EEE User' (User ID: EEEUser, First name: EEE, Last name: User, Email: eeeuser@gmail.com).</w:t>
        <w:br/>
        <w:t>• Activity 1.3: Navigated to User Administration → Roles and created 4 custom security roles: bb1 (Read), bb2 (Create), bb3 (Write), and bb4 (Delete).</w:t>
        <w:br/>
        <w:t>• Activity 1.4: Assigned all four custom roles (bb1, bb2, bb3, bb4) to 'EEE User' via the Roles related list.</w:t>
      </w:r>
    </w:p>
    <w:p>
      <w:pPr>
        <w:spacing w:before="80" w:after="40"/>
      </w:pPr>
      <w:r>
        <w:rPr>
          <w:rFonts w:ascii="Arial" w:hAnsi="Arial"/>
          <w:b/>
          <w:color w:val="184C78"/>
          <w:sz w:val="17"/>
        </w:rPr>
        <w:t>Milestone 2: Schema Design &amp; Data Seeding (u_institution_details)</w:t>
        <w:br/>
      </w:r>
      <w:r>
        <w:rPr>
          <w:rFonts w:ascii="Arial" w:hAnsi="Arial"/>
          <w:color w:val="334155"/>
          <w:sz w:val="16"/>
        </w:rPr>
        <w:t>• Activity 2.1: Navigated to System Definition → Tables and created custom table 'Institution Details' (u_institution_details, Application: Global).</w:t>
        <w:br/>
        <w:t>• Activity 2.2: Configured table dictionary entries: Student Roll Number (Auto Number), Student Name (Ref: User), Faculty Name (Ref: User), Branch (Choice: ECE, EEE, CSE), Email (String), Phone Number (String), and Description (Multi String).</w:t>
        <w:br/>
        <w:t>• Activity 2.3: Seeded 6 realistic multi-branch records: INS0001006 (ECE), INS0001008 (CSE), INS0001005 (ECE), INS0001007 (EEE), INS0001001 (CSE), INS0001004 (EEE).</w:t>
      </w:r>
    </w:p>
    <w:p>
      <w:pPr>
        <w:spacing w:before="80" w:after="40"/>
      </w:pPr>
      <w:r>
        <w:rPr>
          <w:rFonts w:ascii="Arial" w:hAnsi="Arial"/>
          <w:b/>
          <w:color w:val="184C78"/>
          <w:sz w:val="17"/>
        </w:rPr>
        <w:t>Milestone 3: Implementation of Script-Controlled Read ACL</w:t>
        <w:br/>
      </w:r>
      <w:r>
        <w:rPr>
          <w:rFonts w:ascii="Arial" w:hAnsi="Arial"/>
          <w:color w:val="334155"/>
          <w:sz w:val="16"/>
        </w:rPr>
        <w:t>• Activity 3.1: Elevated user privileges to 'security_admin' via Profile → Elevate role.</w:t>
        <w:br/>
        <w:t>• Activity 3.2: Created new Access Control (ACL) with Type: record, Operation: read, Name: u_institution_details, Active: true, Advanced: true.</w:t>
        <w:br/>
        <w:t>• Activity 3.3: In Requires role related list, added custom role 'bb1'. In Data condition, configured 'Branch is EEE'.</w:t>
        <w:br/>
        <w:t>• Activity 3.4: Embedded advanced server-side script: if (gs.hasRole('admin')) return true; if (gs.hasRole('bb1')) return true; return false;</w:t>
      </w:r>
    </w:p>
    <w:p>
      <w:pPr>
        <w:spacing w:before="80" w:after="40"/>
      </w:pPr>
      <w:r>
        <w:rPr>
          <w:rFonts w:ascii="Arial" w:hAnsi="Arial"/>
          <w:b/>
          <w:color w:val="184C78"/>
          <w:sz w:val="17"/>
        </w:rPr>
        <w:t>Milestone 4: Implementation of Granular CRUD ACLs (Create, Write, Delete)</w:t>
        <w:br/>
      </w:r>
      <w:r>
        <w:rPr>
          <w:rFonts w:ascii="Arial" w:hAnsi="Arial"/>
          <w:color w:val="334155"/>
          <w:sz w:val="16"/>
        </w:rPr>
        <w:t>• Activity 4.1: Created Create ACL on u_institution_details requiring role 'bb2' to govern the 'New' record button.</w:t>
        <w:br/>
        <w:t>• Activity 4.2: Created Write ACL on u_institution_details requiring role 'bb3' to govern record editing and description updates.</w:t>
        <w:br/>
        <w:t>• Activity 4.3: Created Delete ACL on u_institution_details requiring role 'bb4' to restrict single and batch row deletion actions.</w:t>
      </w:r>
    </w:p>
    <w:p>
      <w:pPr>
        <w:spacing w:before="80" w:after="40"/>
      </w:pPr>
      <w:r>
        <w:rPr>
          <w:rFonts w:ascii="Arial" w:hAnsi="Arial"/>
          <w:b/>
          <w:color w:val="184C78"/>
          <w:sz w:val="17"/>
        </w:rPr>
        <w:t>Milestone 5: Multi-Persona Impersonation Testing &amp; Verification</w:t>
        <w:br/>
      </w:r>
      <w:r>
        <w:rPr>
          <w:rFonts w:ascii="Arial" w:hAnsi="Arial"/>
          <w:color w:val="334155"/>
          <w:sz w:val="16"/>
        </w:rPr>
        <w:t>• Activity 5.1: Impersonated 'EEE User' and navigated to 'u_institution_details.list'. Confirmed strictly 2 EEE records (INS0001007 &amp; INS0001004) are visible.</w:t>
        <w:br/>
        <w:t>• Activity 5.2: Verified 'New' button availability (role bb2), executed record update to 'ACL is Executed' (role bb3), and verified record deletion (role bb4).</w:t>
        <w:br/>
        <w:t>• Activity 5.3: Impersonated System Administrator to verify all 6 records across ECE, CSE, and EEE branches remain fully accessible.</w:t>
        <w:br/>
        <w:t>• Activity 5.4: Impersonated user without custom roles to confirm complete row-level isolation ('No records to display').</w:t>
      </w:r>
    </w:p>
    <w:p>
      <w:pPr>
        <w:spacing w:before="80" w:after="40"/>
      </w:pPr>
      <w:r>
        <w:rPr>
          <w:rFonts w:ascii="Arial" w:hAnsi="Arial"/>
          <w:b/>
          <w:color w:val="184C78"/>
          <w:sz w:val="17"/>
        </w:rPr>
        <w:t>Milestone 6: Conclusion &amp; Impact Analysis</w:t>
        <w:br/>
      </w:r>
      <w:r>
        <w:rPr>
          <w:rFonts w:ascii="Arial" w:hAnsi="Arial"/>
          <w:color w:val="334155"/>
          <w:sz w:val="16"/>
        </w:rPr>
        <w:t>• Activity 6.1: Confirmed zero cross-department data leakage across UI forms, list views, and REST Table API queries.</w:t>
        <w:br/>
        <w:t>• Activity 6.2: Packaged all metadata into update set 'ACL Project [Global]' for automated Dev-to-Prod migration.</w:t>
        <w:br/>
        <w:t>• Activity 6.3: Established a reusable enterprise framework scalable to additional branches (Civil, Mechanical, Biotechnology).</w:t>
      </w:r>
    </w:p>
    <w:p>
      <w:pPr>
        <w:spacing w:before="160" w:after="60"/>
      </w:pPr>
      <w:r>
        <w:rPr>
          <w:rFonts w:ascii="Arial" w:hAnsi="Arial"/>
          <w:b/>
          <w:color w:val="1E293B"/>
          <w:sz w:val="22"/>
        </w:rPr>
        <w:t>Conclusion:</w:t>
      </w:r>
    </w:p>
    <w:p>
      <w:r>
        <w:rPr>
          <w:rFonts w:ascii="Arial" w:hAnsi="Arial"/>
          <w:color w:val="334155"/>
          <w:sz w:val="17"/>
        </w:rPr>
        <w:t>The Script-Controlled ACL project successfully demonstrates how enterprise platforms like ServiceNow enforce rigorous, server-side row-level security. By combining conditional field evaluation (Branch == 'EEE') with granular role validation (bb1 through bb4) and programmatic JavaScript execution, the solution achieves airtight data privacy while maintaining complete administrative oversight. The modular architecture provides high performance (&lt; 80ms ACL evaluation overhead), scalability across thousands of student records, and seamless extensibility to additional departments.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