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2AC3A" w14:textId="77777777" w:rsidR="000C177D" w:rsidRDefault="000C177D">
      <w:pPr>
        <w:ind w:left="0" w:hanging="2"/>
        <w:rPr>
          <w:rFonts w:ascii="Times New Roman" w:eastAsia="Times New Roman" w:hAnsi="Times New Roman" w:cs="Times New Roman"/>
          <w:sz w:val="24"/>
          <w:szCs w:val="24"/>
        </w:rPr>
      </w:pPr>
    </w:p>
    <w:tbl>
      <w:tblPr>
        <w:tblStyle w:val="af9"/>
        <w:tblW w:w="9765" w:type="dxa"/>
        <w:tblInd w:w="-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95"/>
        <w:gridCol w:w="7470"/>
      </w:tblGrid>
      <w:tr w:rsidR="000C177D" w14:paraId="7DBE9AAB" w14:textId="77777777">
        <w:tc>
          <w:tcPr>
            <w:tcW w:w="2295" w:type="dxa"/>
            <w:tcBorders>
              <w:top w:val="single" w:sz="8" w:space="0" w:color="000001"/>
              <w:left w:val="single" w:sz="8" w:space="0" w:color="000001"/>
              <w:bottom w:val="single" w:sz="8" w:space="0" w:color="000001"/>
              <w:right w:val="single" w:sz="8" w:space="0" w:color="000001"/>
            </w:tcBorders>
            <w:tcMar>
              <w:left w:w="80" w:type="dxa"/>
            </w:tcMar>
          </w:tcPr>
          <w:p w14:paraId="53661CF0" w14:textId="77777777" w:rsidR="000C177D" w:rsidRDefault="00000000">
            <w:pPr>
              <w:keepNext/>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Name:</w:t>
            </w:r>
          </w:p>
        </w:tc>
        <w:tc>
          <w:tcPr>
            <w:tcW w:w="7470" w:type="dxa"/>
            <w:tcBorders>
              <w:top w:val="single" w:sz="8" w:space="0" w:color="000001"/>
              <w:left w:val="single" w:sz="8" w:space="0" w:color="000001"/>
              <w:bottom w:val="single" w:sz="8" w:space="0" w:color="000001"/>
              <w:right w:val="single" w:sz="8" w:space="0" w:color="000001"/>
            </w:tcBorders>
            <w:tcMar>
              <w:left w:w="80" w:type="dxa"/>
            </w:tcMar>
          </w:tcPr>
          <w:p w14:paraId="0F71044C" w14:textId="577DAE3D" w:rsidR="000C177D" w:rsidRPr="003614E4" w:rsidRDefault="003614E4">
            <w:pPr>
              <w:keepNext/>
              <w:spacing w:line="240" w:lineRule="auto"/>
              <w:ind w:left="1" w:hanging="3"/>
              <w:rPr>
                <w:rFonts w:ascii="Times New Roman" w:eastAsia="Times New Roman" w:hAnsi="Times New Roman" w:cs="Times New Roman"/>
                <w:sz w:val="26"/>
                <w:szCs w:val="26"/>
                <w:lang w:val="en-IN"/>
              </w:rPr>
            </w:pPr>
            <w:r>
              <w:rPr>
                <w:rFonts w:ascii="Times New Roman" w:eastAsia="Times New Roman" w:hAnsi="Times New Roman" w:cs="Times New Roman"/>
                <w:sz w:val="26"/>
                <w:szCs w:val="26"/>
                <w:lang w:val="en-IN"/>
              </w:rPr>
              <w:t>Varshil Shah</w:t>
            </w:r>
          </w:p>
        </w:tc>
      </w:tr>
      <w:tr w:rsidR="000C177D" w14:paraId="00B80CF3" w14:textId="77777777">
        <w:tc>
          <w:tcPr>
            <w:tcW w:w="2295" w:type="dxa"/>
            <w:tcBorders>
              <w:top w:val="single" w:sz="8" w:space="0" w:color="000001"/>
              <w:left w:val="single" w:sz="8" w:space="0" w:color="000001"/>
              <w:bottom w:val="single" w:sz="8" w:space="0" w:color="000001"/>
              <w:right w:val="single" w:sz="8" w:space="0" w:color="000001"/>
            </w:tcBorders>
            <w:tcMar>
              <w:left w:w="80" w:type="dxa"/>
            </w:tcMar>
          </w:tcPr>
          <w:p w14:paraId="144081C4" w14:textId="77777777" w:rsidR="000C177D" w:rsidRDefault="00000000">
            <w:pPr>
              <w:keepNext/>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UID: </w:t>
            </w:r>
          </w:p>
        </w:tc>
        <w:tc>
          <w:tcPr>
            <w:tcW w:w="7470" w:type="dxa"/>
            <w:tcBorders>
              <w:top w:val="single" w:sz="8" w:space="0" w:color="000001"/>
              <w:left w:val="single" w:sz="8" w:space="0" w:color="000001"/>
              <w:bottom w:val="single" w:sz="8" w:space="0" w:color="000001"/>
              <w:right w:val="single" w:sz="8" w:space="0" w:color="000001"/>
            </w:tcBorders>
            <w:tcMar>
              <w:left w:w="80" w:type="dxa"/>
            </w:tcMar>
          </w:tcPr>
          <w:p w14:paraId="09BF088F" w14:textId="072324A9" w:rsidR="000C177D" w:rsidRPr="003614E4" w:rsidRDefault="00000000">
            <w:pPr>
              <w:keepNext/>
              <w:spacing w:line="240" w:lineRule="auto"/>
              <w:ind w:left="1" w:hanging="3"/>
              <w:rPr>
                <w:rFonts w:ascii="Times New Roman" w:eastAsia="Times New Roman" w:hAnsi="Times New Roman" w:cs="Times New Roman"/>
                <w:sz w:val="26"/>
                <w:szCs w:val="26"/>
                <w:lang w:val="en-IN"/>
              </w:rPr>
            </w:pPr>
            <w:r>
              <w:rPr>
                <w:rFonts w:ascii="Times New Roman" w:eastAsia="Times New Roman" w:hAnsi="Times New Roman" w:cs="Times New Roman"/>
                <w:sz w:val="26"/>
                <w:szCs w:val="26"/>
              </w:rPr>
              <w:t>202230101</w:t>
            </w:r>
            <w:r w:rsidR="003614E4">
              <w:rPr>
                <w:rFonts w:ascii="Times New Roman" w:eastAsia="Times New Roman" w:hAnsi="Times New Roman" w:cs="Times New Roman"/>
                <w:sz w:val="26"/>
                <w:szCs w:val="26"/>
                <w:lang w:val="en-IN"/>
              </w:rPr>
              <w:t>3</w:t>
            </w:r>
          </w:p>
        </w:tc>
      </w:tr>
      <w:tr w:rsidR="000C177D" w14:paraId="1CFC57C3" w14:textId="77777777">
        <w:tc>
          <w:tcPr>
            <w:tcW w:w="2295" w:type="dxa"/>
            <w:tcBorders>
              <w:top w:val="single" w:sz="8" w:space="0" w:color="000001"/>
              <w:left w:val="single" w:sz="8" w:space="0" w:color="000001"/>
              <w:bottom w:val="single" w:sz="8" w:space="0" w:color="000001"/>
              <w:right w:val="single" w:sz="8" w:space="0" w:color="000001"/>
            </w:tcBorders>
            <w:tcMar>
              <w:left w:w="80" w:type="dxa"/>
            </w:tcMar>
          </w:tcPr>
          <w:p w14:paraId="2FD58631" w14:textId="77777777" w:rsidR="000C177D" w:rsidRDefault="00000000">
            <w:pPr>
              <w:keepNext/>
              <w:spacing w:line="240"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Dept &amp; Batch</w:t>
            </w:r>
          </w:p>
        </w:tc>
        <w:tc>
          <w:tcPr>
            <w:tcW w:w="7470" w:type="dxa"/>
            <w:tcBorders>
              <w:top w:val="single" w:sz="8" w:space="0" w:color="000001"/>
              <w:left w:val="single" w:sz="8" w:space="0" w:color="000001"/>
              <w:bottom w:val="single" w:sz="8" w:space="0" w:color="000001"/>
              <w:right w:val="single" w:sz="8" w:space="0" w:color="000001"/>
            </w:tcBorders>
            <w:tcMar>
              <w:left w:w="80" w:type="dxa"/>
            </w:tcMar>
          </w:tcPr>
          <w:p w14:paraId="2D89DD52" w14:textId="06A2FC74" w:rsidR="000C177D" w:rsidRDefault="00000000">
            <w:pPr>
              <w:keepNext/>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COMPS (</w:t>
            </w:r>
            <w:r w:rsidR="003614E4">
              <w:rPr>
                <w:rFonts w:ascii="Times New Roman" w:eastAsia="Times New Roman" w:hAnsi="Times New Roman" w:cs="Times New Roman"/>
                <w:sz w:val="26"/>
                <w:szCs w:val="26"/>
                <w:lang w:val="en-IN"/>
              </w:rPr>
              <w:t>D</w:t>
            </w:r>
            <w:r>
              <w:rPr>
                <w:rFonts w:ascii="Times New Roman" w:eastAsia="Times New Roman" w:hAnsi="Times New Roman" w:cs="Times New Roman"/>
                <w:sz w:val="26"/>
                <w:szCs w:val="26"/>
              </w:rPr>
              <w:t>)</w:t>
            </w:r>
          </w:p>
        </w:tc>
      </w:tr>
      <w:tr w:rsidR="000C177D" w14:paraId="5A26E246" w14:textId="77777777">
        <w:tc>
          <w:tcPr>
            <w:tcW w:w="2295" w:type="dxa"/>
            <w:tcBorders>
              <w:top w:val="single" w:sz="8" w:space="0" w:color="000001"/>
              <w:left w:val="single" w:sz="8" w:space="0" w:color="000001"/>
              <w:bottom w:val="single" w:sz="8" w:space="0" w:color="000001"/>
              <w:right w:val="single" w:sz="8" w:space="0" w:color="000001"/>
            </w:tcBorders>
            <w:tcMar>
              <w:left w:w="80" w:type="dxa"/>
            </w:tcMar>
          </w:tcPr>
          <w:p w14:paraId="17BFA22E" w14:textId="77777777" w:rsidR="000C177D" w:rsidRDefault="00000000">
            <w:pPr>
              <w:keepNext/>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Experiment No.</w:t>
            </w:r>
          </w:p>
        </w:tc>
        <w:tc>
          <w:tcPr>
            <w:tcW w:w="7470" w:type="dxa"/>
            <w:tcBorders>
              <w:top w:val="single" w:sz="8" w:space="0" w:color="000001"/>
              <w:left w:val="single" w:sz="8" w:space="0" w:color="000001"/>
              <w:bottom w:val="single" w:sz="8" w:space="0" w:color="000001"/>
              <w:right w:val="single" w:sz="8" w:space="0" w:color="000001"/>
            </w:tcBorders>
            <w:tcMar>
              <w:left w:w="80" w:type="dxa"/>
            </w:tcMar>
          </w:tcPr>
          <w:p w14:paraId="2DBD81BC" w14:textId="77777777" w:rsidR="000C177D" w:rsidRDefault="00000000">
            <w:pPr>
              <w:keepNext/>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14:paraId="20C378E0" w14:textId="77777777" w:rsidR="000C177D" w:rsidRDefault="000C177D">
      <w:pPr>
        <w:ind w:left="0" w:hanging="2"/>
        <w:rPr>
          <w:rFonts w:ascii="Times New Roman" w:eastAsia="Times New Roman" w:hAnsi="Times New Roman" w:cs="Times New Roman"/>
          <w:sz w:val="24"/>
          <w:szCs w:val="24"/>
        </w:rPr>
      </w:pPr>
    </w:p>
    <w:tbl>
      <w:tblPr>
        <w:tblStyle w:val="afa"/>
        <w:tblW w:w="9795" w:type="dxa"/>
        <w:tblInd w:w="-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75"/>
        <w:gridCol w:w="7920"/>
      </w:tblGrid>
      <w:tr w:rsidR="000C177D" w14:paraId="08405B7A" w14:textId="77777777">
        <w:tc>
          <w:tcPr>
            <w:tcW w:w="1875" w:type="dxa"/>
            <w:tcBorders>
              <w:top w:val="single" w:sz="8" w:space="0" w:color="000001"/>
              <w:left w:val="single" w:sz="8" w:space="0" w:color="000001"/>
              <w:bottom w:val="single" w:sz="8" w:space="0" w:color="000001"/>
              <w:right w:val="single" w:sz="8" w:space="0" w:color="000001"/>
            </w:tcBorders>
            <w:tcMar>
              <w:left w:w="80" w:type="dxa"/>
            </w:tcMar>
          </w:tcPr>
          <w:p w14:paraId="0600F8A7" w14:textId="77777777" w:rsidR="000C177D" w:rsidRDefault="00000000">
            <w:pPr>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AIM:</w:t>
            </w:r>
          </w:p>
        </w:tc>
        <w:tc>
          <w:tcPr>
            <w:tcW w:w="7920" w:type="dxa"/>
            <w:tcBorders>
              <w:top w:val="single" w:sz="8" w:space="0" w:color="000001"/>
              <w:left w:val="single" w:sz="8" w:space="0" w:color="000001"/>
              <w:bottom w:val="single" w:sz="8" w:space="0" w:color="000001"/>
              <w:right w:val="single" w:sz="8" w:space="0" w:color="000001"/>
            </w:tcBorders>
            <w:tcMar>
              <w:left w:w="80" w:type="dxa"/>
            </w:tcMar>
          </w:tcPr>
          <w:p w14:paraId="6E4FD8E2" w14:textId="77777777" w:rsidR="000C177D" w:rsidRDefault="00000000">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Design Big Data Dashboard using Tableau on the dataset -Education Sector</w:t>
            </w:r>
          </w:p>
        </w:tc>
      </w:tr>
      <w:tr w:rsidR="000C177D" w14:paraId="027199EE" w14:textId="77777777">
        <w:tc>
          <w:tcPr>
            <w:tcW w:w="1875" w:type="dxa"/>
            <w:tcBorders>
              <w:top w:val="single" w:sz="8" w:space="0" w:color="000001"/>
              <w:left w:val="single" w:sz="8" w:space="0" w:color="000001"/>
              <w:bottom w:val="single" w:sz="8" w:space="0" w:color="000001"/>
              <w:right w:val="single" w:sz="8" w:space="0" w:color="000001"/>
            </w:tcBorders>
            <w:tcMar>
              <w:left w:w="80" w:type="dxa"/>
            </w:tcMar>
          </w:tcPr>
          <w:p w14:paraId="28021716" w14:textId="77777777" w:rsidR="000C177D" w:rsidRDefault="00000000">
            <w:pPr>
              <w:spacing w:line="240"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Dataset:</w:t>
            </w:r>
          </w:p>
        </w:tc>
        <w:tc>
          <w:tcPr>
            <w:tcW w:w="7920" w:type="dxa"/>
            <w:tcBorders>
              <w:top w:val="single" w:sz="8" w:space="0" w:color="000001"/>
              <w:left w:val="single" w:sz="8" w:space="0" w:color="000001"/>
              <w:bottom w:val="single" w:sz="8" w:space="0" w:color="000001"/>
              <w:right w:val="single" w:sz="8" w:space="0" w:color="000001"/>
            </w:tcBorders>
            <w:tcMar>
              <w:left w:w="80" w:type="dxa"/>
            </w:tcMar>
          </w:tcPr>
          <w:p w14:paraId="733C7092" w14:textId="77777777" w:rsidR="000C177D" w:rsidRDefault="00000000">
            <w:pPr>
              <w:pStyle w:val="Heading3"/>
              <w:keepNext w:val="0"/>
              <w:keepLines w:val="0"/>
              <w:pBdr>
                <w:top w:val="none" w:sz="0" w:space="0" w:color="000000"/>
                <w:bottom w:val="none" w:sz="0" w:space="0" w:color="000000"/>
                <w:right w:val="none" w:sz="0" w:space="0" w:color="000000"/>
                <w:between w:val="none" w:sz="0" w:space="0" w:color="000000"/>
              </w:pBdr>
              <w:spacing w:before="360" w:after="120" w:line="300" w:lineRule="auto"/>
              <w:ind w:left="1" w:hanging="3"/>
              <w:rPr>
                <w:rFonts w:ascii="Times New Roman" w:eastAsia="Times New Roman" w:hAnsi="Times New Roman" w:cs="Times New Roman"/>
                <w:b/>
                <w:color w:val="202124"/>
                <w:sz w:val="26"/>
                <w:szCs w:val="26"/>
              </w:rPr>
            </w:pPr>
            <w:bookmarkStart w:id="0" w:name="_heading=h.madzksxxctxj" w:colFirst="0" w:colLast="0"/>
            <w:bookmarkEnd w:id="0"/>
            <w:r>
              <w:rPr>
                <w:rFonts w:ascii="Times New Roman" w:eastAsia="Times New Roman" w:hAnsi="Times New Roman" w:cs="Times New Roman"/>
                <w:b/>
                <w:color w:val="202124"/>
                <w:sz w:val="26"/>
                <w:szCs w:val="26"/>
              </w:rPr>
              <w:t>Column Descriptions</w:t>
            </w:r>
          </w:p>
          <w:tbl>
            <w:tblPr>
              <w:tblStyle w:val="afb"/>
              <w:tblW w:w="7740" w:type="dxa"/>
              <w:tblBorders>
                <w:top w:val="single" w:sz="5" w:space="0" w:color="DADCE0"/>
                <w:left w:val="single" w:sz="5" w:space="0" w:color="DADCE0"/>
                <w:bottom w:val="single" w:sz="5" w:space="0" w:color="DADCE0"/>
                <w:right w:val="single" w:sz="5" w:space="0" w:color="DADCE0"/>
                <w:insideH w:val="single" w:sz="5" w:space="0" w:color="DADCE0"/>
                <w:insideV w:val="single" w:sz="5" w:space="0" w:color="DADCE0"/>
              </w:tblBorders>
              <w:tblLayout w:type="fixed"/>
              <w:tblLook w:val="0600" w:firstRow="0" w:lastRow="0" w:firstColumn="0" w:lastColumn="0" w:noHBand="1" w:noVBand="1"/>
            </w:tblPr>
            <w:tblGrid>
              <w:gridCol w:w="3482"/>
              <w:gridCol w:w="4258"/>
            </w:tblGrid>
            <w:tr w:rsidR="000C177D" w14:paraId="3AE40BB5" w14:textId="77777777">
              <w:trPr>
                <w:trHeight w:val="840"/>
              </w:trPr>
              <w:tc>
                <w:tcPr>
                  <w:tcW w:w="0" w:type="auto"/>
                  <w:tcBorders>
                    <w:top w:val="nil"/>
                    <w:left w:val="nil"/>
                    <w:bottom w:val="nil"/>
                    <w:right w:val="nil"/>
                  </w:tcBorders>
                  <w:tcMar>
                    <w:top w:w="240" w:type="dxa"/>
                    <w:left w:w="240" w:type="dxa"/>
                    <w:bottom w:w="240" w:type="dxa"/>
                    <w:right w:w="240" w:type="dxa"/>
                  </w:tcMar>
                  <w:vAlign w:val="center"/>
                </w:tcPr>
                <w:p w14:paraId="70B7791D" w14:textId="77777777" w:rsidR="000C177D" w:rsidRDefault="00000000">
                  <w:pPr>
                    <w:pBdr>
                      <w:top w:val="none" w:sz="0" w:space="0" w:color="000000"/>
                      <w:bottom w:val="none" w:sz="0" w:space="0" w:color="000000"/>
                      <w:right w:val="none" w:sz="0" w:space="0" w:color="000000"/>
                      <w:between w:val="none" w:sz="0" w:space="0" w:color="000000"/>
                    </w:pBdr>
                    <w:spacing w:line="411" w:lineRule="auto"/>
                    <w:ind w:left="1" w:hanging="3"/>
                    <w:jc w:val="center"/>
                    <w:rPr>
                      <w:rFonts w:ascii="Times New Roman" w:eastAsia="Times New Roman" w:hAnsi="Times New Roman" w:cs="Times New Roman"/>
                      <w:color w:val="3C4043"/>
                      <w:sz w:val="26"/>
                      <w:szCs w:val="26"/>
                    </w:rPr>
                  </w:pPr>
                  <w:r>
                    <w:rPr>
                      <w:rFonts w:ascii="Times New Roman" w:eastAsia="Times New Roman" w:hAnsi="Times New Roman" w:cs="Times New Roman"/>
                      <w:b/>
                      <w:color w:val="3C4043"/>
                      <w:sz w:val="26"/>
                      <w:szCs w:val="26"/>
                    </w:rPr>
                    <w:t>Attribute</w:t>
                  </w:r>
                </w:p>
              </w:tc>
              <w:tc>
                <w:tcPr>
                  <w:tcW w:w="0" w:type="auto"/>
                  <w:tcBorders>
                    <w:top w:val="nil"/>
                    <w:left w:val="nil"/>
                    <w:bottom w:val="nil"/>
                    <w:right w:val="nil"/>
                  </w:tcBorders>
                  <w:tcMar>
                    <w:top w:w="240" w:type="dxa"/>
                    <w:left w:w="240" w:type="dxa"/>
                    <w:bottom w:w="240" w:type="dxa"/>
                    <w:right w:w="240" w:type="dxa"/>
                  </w:tcMar>
                  <w:vAlign w:val="center"/>
                </w:tcPr>
                <w:p w14:paraId="49AE32EA" w14:textId="77777777" w:rsidR="000C177D" w:rsidRDefault="00000000">
                  <w:pPr>
                    <w:pBdr>
                      <w:top w:val="none" w:sz="0" w:space="0" w:color="000000"/>
                      <w:bottom w:val="none" w:sz="0" w:space="0" w:color="000000"/>
                      <w:right w:val="none" w:sz="0" w:space="0" w:color="000000"/>
                      <w:between w:val="none" w:sz="0" w:space="0" w:color="000000"/>
                    </w:pBdr>
                    <w:spacing w:line="411" w:lineRule="auto"/>
                    <w:ind w:left="1" w:hanging="3"/>
                    <w:jc w:val="center"/>
                    <w:rPr>
                      <w:rFonts w:ascii="Times New Roman" w:eastAsia="Times New Roman" w:hAnsi="Times New Roman" w:cs="Times New Roman"/>
                      <w:color w:val="3C4043"/>
                      <w:sz w:val="26"/>
                      <w:szCs w:val="26"/>
                    </w:rPr>
                  </w:pPr>
                  <w:r>
                    <w:rPr>
                      <w:rFonts w:ascii="Times New Roman" w:eastAsia="Times New Roman" w:hAnsi="Times New Roman" w:cs="Times New Roman"/>
                      <w:b/>
                      <w:color w:val="3C4043"/>
                      <w:sz w:val="26"/>
                      <w:szCs w:val="26"/>
                    </w:rPr>
                    <w:t>Description</w:t>
                  </w:r>
                </w:p>
              </w:tc>
            </w:tr>
            <w:tr w:rsidR="000C177D" w14:paraId="7567F319"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59A1EA48"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Hours_Studied</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33A5A998"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Number of hours spent studying per week.</w:t>
                  </w:r>
                </w:p>
              </w:tc>
            </w:tr>
            <w:tr w:rsidR="000C177D" w14:paraId="55E5AE76"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2FE5FFD8"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Attendance</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2594BB64"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Percentage of classes attended.</w:t>
                  </w:r>
                </w:p>
              </w:tc>
            </w:tr>
            <w:tr w:rsidR="000C177D" w14:paraId="24D1C001" w14:textId="77777777">
              <w:trPr>
                <w:trHeight w:val="99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6762DB7A"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Parental_Involvement</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568AC5C3"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Level of parental involvement in the student's education (Low, Medium, High).</w:t>
                  </w:r>
                </w:p>
              </w:tc>
            </w:tr>
            <w:tr w:rsidR="000C177D" w14:paraId="453DCAA5" w14:textId="77777777">
              <w:trPr>
                <w:trHeight w:val="99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1DBFAB00"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Access_to_Resources</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5D0FE129"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Availability of educational resources (Low, Medium, High).</w:t>
                  </w:r>
                </w:p>
              </w:tc>
            </w:tr>
            <w:tr w:rsidR="000C177D" w14:paraId="07531EA0"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6E93F33B"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Extracurricular_Activities</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3CE70FBA"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Participation in extracurricular activities (Yes, No).</w:t>
                  </w:r>
                </w:p>
              </w:tc>
            </w:tr>
            <w:tr w:rsidR="000C177D" w14:paraId="1D307C58"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1ACAA19D"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lastRenderedPageBreak/>
                    <w:t>Sleep_Hours</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6AA6D46E"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Average number of hours of sleep per night.</w:t>
                  </w:r>
                </w:p>
              </w:tc>
            </w:tr>
            <w:tr w:rsidR="000C177D" w14:paraId="3EAA9214"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681F0386"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Previous_Scores</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08D7176E"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Scores from previous exams.</w:t>
                  </w:r>
                </w:p>
              </w:tc>
            </w:tr>
            <w:tr w:rsidR="000C177D" w14:paraId="76616478"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30B2EF2B"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Motivation_Level</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5B8E1FA8"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Student's level of motivation (Low, Medium, High).</w:t>
                  </w:r>
                </w:p>
              </w:tc>
            </w:tr>
            <w:tr w:rsidR="000C177D" w14:paraId="116CFCD0"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115833C7"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Internet_Access</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7FC70738"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Availability of internet access (Yes, No).</w:t>
                  </w:r>
                </w:p>
              </w:tc>
            </w:tr>
            <w:tr w:rsidR="000C177D" w14:paraId="109ABD3A"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1D2B68A5"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Tutoring_Sessions</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255A3472"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Number of tutoring sessions attended per month.</w:t>
                  </w:r>
                </w:p>
              </w:tc>
            </w:tr>
            <w:tr w:rsidR="000C177D" w14:paraId="7F2D0841"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1B5A1C4F"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Family_Income</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6AFCCC0D"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Family income level (Low, Medium, High).</w:t>
                  </w:r>
                </w:p>
              </w:tc>
            </w:tr>
            <w:tr w:rsidR="000C177D" w14:paraId="26167FE9"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7DA2976D"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Teacher_Quality</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61982D80"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Quality of the teachers (Low, Medium, High).</w:t>
                  </w:r>
                </w:p>
              </w:tc>
            </w:tr>
            <w:tr w:rsidR="000C177D" w14:paraId="20FDED08"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4835E383"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School_Type</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5665F892"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Type of school attended (Public, Private).</w:t>
                  </w:r>
                </w:p>
              </w:tc>
            </w:tr>
            <w:tr w:rsidR="000C177D" w14:paraId="225E78C3" w14:textId="77777777">
              <w:trPr>
                <w:trHeight w:val="99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487B0646"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Peer_Influence</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32AC9860"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Influence of peers on academic performance (Positive, Neutral, Negative).</w:t>
                  </w:r>
                </w:p>
              </w:tc>
            </w:tr>
            <w:tr w:rsidR="000C177D" w14:paraId="46226620"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1D4B9B2C"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lastRenderedPageBreak/>
                    <w:t>Physical_Activity</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788CA1A6"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Average number of hours of physical activity per week.</w:t>
                  </w:r>
                </w:p>
              </w:tc>
            </w:tr>
            <w:tr w:rsidR="000C177D" w14:paraId="0FE17A3E"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30B4A72D"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Learning_Disabilities</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1D7E431D"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Presence of learning disabilities (Yes, No).</w:t>
                  </w:r>
                </w:p>
              </w:tc>
            </w:tr>
            <w:tr w:rsidR="000C177D" w14:paraId="78D0A183" w14:textId="77777777">
              <w:trPr>
                <w:trHeight w:val="99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581B53AB"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Parental_Education_Level</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2B65BB56"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Highest education level of parents (High School, College, Postgraduate).</w:t>
                  </w:r>
                </w:p>
              </w:tc>
            </w:tr>
            <w:tr w:rsidR="000C177D" w14:paraId="38FAB35E"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76D12588"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Distance_from_Home</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5099D7DA"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Distance from home to school (Near, Moderate, Far).</w:t>
                  </w:r>
                </w:p>
              </w:tc>
            </w:tr>
            <w:tr w:rsidR="000C177D" w14:paraId="666D3816"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04BFE994"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Gender</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517090BB"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Gender of the student (Male, Female).</w:t>
                  </w:r>
                </w:p>
              </w:tc>
            </w:tr>
            <w:tr w:rsidR="000C177D" w14:paraId="39EAA0FA" w14:textId="77777777">
              <w:trPr>
                <w:trHeight w:val="780"/>
              </w:trPr>
              <w:tc>
                <w:tcPr>
                  <w:tcW w:w="0" w:type="auto"/>
                  <w:tcBorders>
                    <w:top w:val="single" w:sz="5" w:space="0" w:color="DADCE0"/>
                    <w:left w:val="nil"/>
                    <w:bottom w:val="nil"/>
                    <w:right w:val="nil"/>
                  </w:tcBorders>
                  <w:tcMar>
                    <w:top w:w="240" w:type="dxa"/>
                    <w:left w:w="240" w:type="dxa"/>
                    <w:bottom w:w="240" w:type="dxa"/>
                    <w:right w:w="240" w:type="dxa"/>
                  </w:tcMar>
                  <w:vAlign w:val="center"/>
                </w:tcPr>
                <w:p w14:paraId="070DA240"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b/>
                      <w:color w:val="202124"/>
                      <w:sz w:val="26"/>
                      <w:szCs w:val="26"/>
                    </w:rPr>
                    <w:t>Exam_Score</w:t>
                  </w:r>
                </w:p>
              </w:tc>
              <w:tc>
                <w:tcPr>
                  <w:tcW w:w="0" w:type="auto"/>
                  <w:tcBorders>
                    <w:top w:val="single" w:sz="5" w:space="0" w:color="DADCE0"/>
                    <w:left w:val="nil"/>
                    <w:bottom w:val="nil"/>
                    <w:right w:val="nil"/>
                  </w:tcBorders>
                  <w:tcMar>
                    <w:top w:w="240" w:type="dxa"/>
                    <w:left w:w="240" w:type="dxa"/>
                    <w:bottom w:w="240" w:type="dxa"/>
                    <w:right w:w="240" w:type="dxa"/>
                  </w:tcMar>
                  <w:vAlign w:val="center"/>
                </w:tcPr>
                <w:p w14:paraId="31162733" w14:textId="77777777" w:rsidR="000C177D" w:rsidRDefault="00000000">
                  <w:pPr>
                    <w:pBdr>
                      <w:top w:val="none" w:sz="0" w:space="0" w:color="000000"/>
                      <w:bottom w:val="none" w:sz="0" w:space="0" w:color="000000"/>
                      <w:right w:val="none" w:sz="0" w:space="0" w:color="000000"/>
                      <w:between w:val="none" w:sz="0" w:space="0" w:color="000000"/>
                    </w:pBdr>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202124"/>
                      <w:sz w:val="26"/>
                      <w:szCs w:val="26"/>
                    </w:rPr>
                    <w:t>Final exam score.</w:t>
                  </w:r>
                </w:p>
              </w:tc>
            </w:tr>
          </w:tbl>
          <w:p w14:paraId="792E5B4D" w14:textId="77777777" w:rsidR="000C177D" w:rsidRDefault="00000000">
            <w:pPr>
              <w:pBdr>
                <w:top w:val="none" w:sz="0" w:space="0" w:color="000000"/>
                <w:bottom w:val="none" w:sz="0" w:space="0" w:color="000000"/>
                <w:right w:val="none" w:sz="0" w:space="0" w:color="000000"/>
                <w:between w:val="none" w:sz="0" w:space="0" w:color="000000"/>
              </w:pBdr>
              <w:spacing w:before="480" w:after="480"/>
              <w:ind w:left="1" w:hanging="3"/>
              <w:rPr>
                <w:rFonts w:ascii="Times New Roman" w:eastAsia="Times New Roman" w:hAnsi="Times New Roman" w:cs="Times New Roman"/>
                <w:color w:val="3C4043"/>
                <w:sz w:val="26"/>
                <w:szCs w:val="26"/>
              </w:rPr>
            </w:pPr>
            <w:r>
              <w:rPr>
                <w:rFonts w:ascii="Times New Roman" w:eastAsia="Times New Roman" w:hAnsi="Times New Roman" w:cs="Times New Roman"/>
                <w:color w:val="3C4043"/>
                <w:sz w:val="26"/>
                <w:szCs w:val="26"/>
              </w:rPr>
              <w:t xml:space="preserve">Link: </w:t>
            </w:r>
            <w:hyperlink r:id="rId6">
              <w:r>
                <w:rPr>
                  <w:rFonts w:ascii="Times New Roman" w:eastAsia="Times New Roman" w:hAnsi="Times New Roman" w:cs="Times New Roman"/>
                  <w:color w:val="1155CC"/>
                  <w:sz w:val="26"/>
                  <w:szCs w:val="26"/>
                  <w:u w:val="single"/>
                </w:rPr>
                <w:t>https://www.kaggle.com/datasets/lainguyn123/student-performance-factors/data</w:t>
              </w:r>
            </w:hyperlink>
            <w:r>
              <w:rPr>
                <w:rFonts w:ascii="Times New Roman" w:eastAsia="Times New Roman" w:hAnsi="Times New Roman" w:cs="Times New Roman"/>
                <w:color w:val="3C4043"/>
                <w:sz w:val="26"/>
                <w:szCs w:val="26"/>
              </w:rPr>
              <w:t xml:space="preserve"> </w:t>
            </w:r>
          </w:p>
        </w:tc>
      </w:tr>
      <w:tr w:rsidR="000C177D" w14:paraId="17720CFD"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5B2AE3CD" w14:textId="77777777" w:rsidR="000C177D" w:rsidRDefault="000C177D">
            <w:pPr>
              <w:spacing w:line="240" w:lineRule="auto"/>
              <w:ind w:left="1" w:hanging="3"/>
              <w:jc w:val="center"/>
              <w:rPr>
                <w:rFonts w:ascii="Times New Roman" w:eastAsia="Times New Roman" w:hAnsi="Times New Roman" w:cs="Times New Roman"/>
                <w:sz w:val="26"/>
                <w:szCs w:val="26"/>
              </w:rPr>
            </w:pPr>
          </w:p>
        </w:tc>
      </w:tr>
      <w:tr w:rsidR="000C177D" w14:paraId="1CEDEF66" w14:textId="77777777">
        <w:trPr>
          <w:trHeight w:val="3300"/>
        </w:trPr>
        <w:tc>
          <w:tcPr>
            <w:tcW w:w="1875" w:type="dxa"/>
            <w:tcBorders>
              <w:top w:val="single" w:sz="8" w:space="0" w:color="000001"/>
              <w:left w:val="single" w:sz="8" w:space="0" w:color="000001"/>
              <w:bottom w:val="single" w:sz="8" w:space="0" w:color="000001"/>
              <w:right w:val="single" w:sz="8" w:space="0" w:color="000001"/>
            </w:tcBorders>
            <w:tcMar>
              <w:left w:w="80" w:type="dxa"/>
            </w:tcMar>
          </w:tcPr>
          <w:p w14:paraId="0D690467" w14:textId="77777777" w:rsidR="000C177D" w:rsidRDefault="00000000">
            <w:pPr>
              <w:spacing w:line="240" w:lineRule="auto"/>
              <w:ind w:left="1" w:hanging="3"/>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Charts/</w:t>
            </w:r>
          </w:p>
          <w:p w14:paraId="10DAA9A1" w14:textId="77777777" w:rsidR="000C177D" w:rsidRDefault="00000000">
            <w:pPr>
              <w:spacing w:line="240" w:lineRule="auto"/>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Dashboard:</w:t>
            </w:r>
          </w:p>
        </w:tc>
        <w:tc>
          <w:tcPr>
            <w:tcW w:w="7920" w:type="dxa"/>
            <w:tcBorders>
              <w:top w:val="single" w:sz="8" w:space="0" w:color="000001"/>
              <w:left w:val="single" w:sz="8" w:space="0" w:color="000001"/>
              <w:bottom w:val="single" w:sz="8" w:space="0" w:color="000001"/>
              <w:right w:val="single" w:sz="8" w:space="0" w:color="000001"/>
            </w:tcBorders>
            <w:tcMar>
              <w:left w:w="80" w:type="dxa"/>
            </w:tcMar>
          </w:tcPr>
          <w:p w14:paraId="2FAA4088" w14:textId="77777777" w:rsidR="000C177D" w:rsidRDefault="00000000">
            <w:pPr>
              <w:spacing w:after="240"/>
              <w:ind w:left="1" w:hanging="3"/>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164F6D9" wp14:editId="395EB5DA">
                  <wp:extent cx="4914900" cy="260350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14900" cy="2603500"/>
                          </a:xfrm>
                          <a:prstGeom prst="rect">
                            <a:avLst/>
                          </a:prstGeom>
                          <a:ln/>
                        </pic:spPr>
                      </pic:pic>
                    </a:graphicData>
                  </a:graphic>
                </wp:inline>
              </w:drawing>
            </w:r>
          </w:p>
          <w:p w14:paraId="317A8057" w14:textId="77777777" w:rsidR="000C177D" w:rsidRDefault="000C177D">
            <w:pPr>
              <w:pStyle w:val="Heading3"/>
              <w:keepNext w:val="0"/>
              <w:keepLines w:val="0"/>
              <w:spacing w:before="280"/>
              <w:ind w:left="1" w:hanging="3"/>
              <w:rPr>
                <w:rFonts w:ascii="Times New Roman" w:eastAsia="Times New Roman" w:hAnsi="Times New Roman" w:cs="Times New Roman"/>
                <w:b/>
                <w:color w:val="00000A"/>
                <w:sz w:val="26"/>
                <w:szCs w:val="26"/>
              </w:rPr>
            </w:pPr>
            <w:bookmarkStart w:id="1" w:name="_heading=h.vsd00hsyv97f" w:colFirst="0" w:colLast="0"/>
            <w:bookmarkEnd w:id="1"/>
          </w:p>
          <w:p w14:paraId="439A68C4" w14:textId="77777777" w:rsidR="000C177D" w:rsidRDefault="000C177D">
            <w:pPr>
              <w:pStyle w:val="Heading3"/>
              <w:keepNext w:val="0"/>
              <w:keepLines w:val="0"/>
              <w:spacing w:before="280"/>
              <w:ind w:left="1" w:hanging="3"/>
              <w:rPr>
                <w:rFonts w:ascii="Times New Roman" w:eastAsia="Times New Roman" w:hAnsi="Times New Roman" w:cs="Times New Roman"/>
                <w:b/>
                <w:color w:val="00000A"/>
                <w:sz w:val="26"/>
                <w:szCs w:val="26"/>
              </w:rPr>
            </w:pPr>
            <w:bookmarkStart w:id="2" w:name="_heading=h.rqi5epmc3mwr" w:colFirst="0" w:colLast="0"/>
            <w:bookmarkEnd w:id="2"/>
          </w:p>
          <w:p w14:paraId="15B1F4E8" w14:textId="77777777" w:rsidR="000C177D" w:rsidRDefault="00000000">
            <w:pPr>
              <w:pStyle w:val="Heading3"/>
              <w:keepNext w:val="0"/>
              <w:keepLines w:val="0"/>
              <w:spacing w:before="280"/>
              <w:ind w:left="1" w:hanging="3"/>
              <w:rPr>
                <w:rFonts w:ascii="Times New Roman" w:eastAsia="Times New Roman" w:hAnsi="Times New Roman" w:cs="Times New Roman"/>
                <w:b/>
                <w:color w:val="00000A"/>
                <w:sz w:val="26"/>
                <w:szCs w:val="26"/>
              </w:rPr>
            </w:pPr>
            <w:bookmarkStart w:id="3" w:name="_heading=h.bq3nxknbazad" w:colFirst="0" w:colLast="0"/>
            <w:bookmarkEnd w:id="3"/>
            <w:r>
              <w:rPr>
                <w:rFonts w:ascii="Times New Roman" w:eastAsia="Times New Roman" w:hAnsi="Times New Roman" w:cs="Times New Roman"/>
                <w:b/>
                <w:color w:val="00000A"/>
                <w:sz w:val="26"/>
                <w:szCs w:val="26"/>
              </w:rPr>
              <w:t>Distribution of Exam Score</w:t>
            </w:r>
          </w:p>
          <w:p w14:paraId="670D299E" w14:textId="77777777" w:rsidR="000C177D" w:rsidRDefault="00000000">
            <w:pPr>
              <w:numPr>
                <w:ilvl w:val="0"/>
                <w:numId w:val="1"/>
              </w:numPr>
              <w:spacing w:before="240"/>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Type of Plot</w:t>
            </w:r>
            <w:r>
              <w:rPr>
                <w:rFonts w:ascii="Times New Roman" w:eastAsia="Times New Roman" w:hAnsi="Times New Roman" w:cs="Times New Roman"/>
                <w:sz w:val="26"/>
                <w:szCs w:val="26"/>
              </w:rPr>
              <w:t>: Histogram</w:t>
            </w:r>
          </w:p>
          <w:p w14:paraId="7F027B38" w14:textId="77777777" w:rsidR="000C177D" w:rsidRDefault="00000000">
            <w:pPr>
              <w:numPr>
                <w:ilvl w:val="0"/>
                <w:numId w:val="1"/>
              </w:numPr>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Observations</w:t>
            </w:r>
            <w:r>
              <w:rPr>
                <w:rFonts w:ascii="Times New Roman" w:eastAsia="Times New Roman" w:hAnsi="Times New Roman" w:cs="Times New Roman"/>
                <w:sz w:val="26"/>
                <w:szCs w:val="26"/>
              </w:rPr>
              <w:t>:</w:t>
            </w:r>
          </w:p>
          <w:p w14:paraId="1D3E17F8" w14:textId="77777777" w:rsidR="000C177D" w:rsidRDefault="00000000">
            <w:pPr>
              <w:numPr>
                <w:ilvl w:val="1"/>
                <w:numId w:val="1"/>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Most students scored between 60 and 75, with a peak around the 70 mark.</w:t>
            </w:r>
          </w:p>
          <w:p w14:paraId="722A4C0C" w14:textId="77777777" w:rsidR="000C177D" w:rsidRDefault="00000000">
            <w:pPr>
              <w:numPr>
                <w:ilvl w:val="1"/>
                <w:numId w:val="1"/>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Few students scored below 60 or above 80, indicating that extreme scores are uncommon.</w:t>
            </w:r>
          </w:p>
          <w:p w14:paraId="5BB46916" w14:textId="77777777" w:rsidR="000C177D" w:rsidRDefault="00000000">
            <w:pPr>
              <w:numPr>
                <w:ilvl w:val="1"/>
                <w:numId w:val="1"/>
              </w:numPr>
              <w:spacing w:after="240"/>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This distribution suggests that exam scores are relatively consistent, with most students clustered around the average.</w:t>
            </w:r>
          </w:p>
          <w:p w14:paraId="33304D3B" w14:textId="77777777" w:rsidR="000C177D" w:rsidRDefault="00000000">
            <w:pPr>
              <w:spacing w:after="240"/>
              <w:ind w:left="0" w:hanging="2"/>
              <w:rPr>
                <w:rFonts w:ascii="Times New Roman" w:eastAsia="Times New Roman" w:hAnsi="Times New Roman" w:cs="Times New Roman"/>
                <w:sz w:val="26"/>
                <w:szCs w:val="26"/>
              </w:rPr>
            </w:pPr>
            <w:r>
              <w:pict w14:anchorId="01734FEE">
                <v:rect id="_x0000_i1025" style="width:0;height:1.5pt" o:hralign="center" o:hrstd="t" o:hr="t" fillcolor="#a0a0a0" stroked="f"/>
              </w:pict>
            </w:r>
          </w:p>
          <w:p w14:paraId="5F0F9AE9" w14:textId="77777777" w:rsidR="000C177D" w:rsidRDefault="00000000">
            <w:pPr>
              <w:pStyle w:val="Heading3"/>
              <w:keepNext w:val="0"/>
              <w:keepLines w:val="0"/>
              <w:spacing w:before="280"/>
              <w:ind w:left="1" w:hanging="3"/>
              <w:rPr>
                <w:rFonts w:ascii="Times New Roman" w:eastAsia="Times New Roman" w:hAnsi="Times New Roman" w:cs="Times New Roman"/>
                <w:b/>
                <w:color w:val="00000A"/>
                <w:sz w:val="26"/>
                <w:szCs w:val="26"/>
              </w:rPr>
            </w:pPr>
            <w:bookmarkStart w:id="4" w:name="_heading=h.9ii2rbajpy45" w:colFirst="0" w:colLast="0"/>
            <w:bookmarkEnd w:id="4"/>
            <w:r>
              <w:rPr>
                <w:rFonts w:ascii="Times New Roman" w:eastAsia="Times New Roman" w:hAnsi="Times New Roman" w:cs="Times New Roman"/>
                <w:b/>
                <w:color w:val="00000A"/>
                <w:sz w:val="26"/>
                <w:szCs w:val="26"/>
              </w:rPr>
              <w:t>Proportion of Extracurricular Activities</w:t>
            </w:r>
          </w:p>
          <w:p w14:paraId="74B6CB9C" w14:textId="77777777" w:rsidR="000C177D" w:rsidRDefault="00000000">
            <w:pPr>
              <w:numPr>
                <w:ilvl w:val="0"/>
                <w:numId w:val="2"/>
              </w:numPr>
              <w:spacing w:before="240"/>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Type of Plot</w:t>
            </w:r>
            <w:r>
              <w:rPr>
                <w:rFonts w:ascii="Times New Roman" w:eastAsia="Times New Roman" w:hAnsi="Times New Roman" w:cs="Times New Roman"/>
                <w:sz w:val="26"/>
                <w:szCs w:val="26"/>
              </w:rPr>
              <w:t>: Pie Chart</w:t>
            </w:r>
          </w:p>
          <w:p w14:paraId="23AE2040" w14:textId="77777777" w:rsidR="000C177D" w:rsidRDefault="00000000">
            <w:pPr>
              <w:numPr>
                <w:ilvl w:val="0"/>
                <w:numId w:val="2"/>
              </w:numPr>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Observations</w:t>
            </w:r>
            <w:r>
              <w:rPr>
                <w:rFonts w:ascii="Times New Roman" w:eastAsia="Times New Roman" w:hAnsi="Times New Roman" w:cs="Times New Roman"/>
                <w:sz w:val="26"/>
                <w:szCs w:val="26"/>
              </w:rPr>
              <w:t>:</w:t>
            </w:r>
          </w:p>
          <w:p w14:paraId="6A180566" w14:textId="77777777" w:rsidR="000C177D" w:rsidRDefault="00000000">
            <w:pPr>
              <w:numPr>
                <w:ilvl w:val="1"/>
                <w:numId w:val="2"/>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 larger portion of students participate in extracurricular activities than those who do not.</w:t>
            </w:r>
          </w:p>
          <w:p w14:paraId="36940534" w14:textId="77777777" w:rsidR="000C177D" w:rsidRDefault="00000000">
            <w:pPr>
              <w:numPr>
                <w:ilvl w:val="1"/>
                <w:numId w:val="2"/>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This could imply a positive trend in students engaging in activities outside academics, which may impact their overall development.</w:t>
            </w:r>
          </w:p>
          <w:p w14:paraId="67986BFD" w14:textId="77777777" w:rsidR="000C177D" w:rsidRDefault="00000000">
            <w:pPr>
              <w:numPr>
                <w:ilvl w:val="1"/>
                <w:numId w:val="2"/>
              </w:numPr>
              <w:spacing w:after="240"/>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balance suggests that the majority of students manage </w:t>
            </w:r>
            <w:r>
              <w:rPr>
                <w:rFonts w:ascii="Times New Roman" w:eastAsia="Times New Roman" w:hAnsi="Times New Roman" w:cs="Times New Roman"/>
                <w:sz w:val="26"/>
                <w:szCs w:val="26"/>
              </w:rPr>
              <w:lastRenderedPageBreak/>
              <w:t>academics alongside extracurricular commitments.</w:t>
            </w:r>
          </w:p>
          <w:p w14:paraId="5D73A96B" w14:textId="77777777" w:rsidR="000C177D" w:rsidRDefault="00000000">
            <w:pPr>
              <w:spacing w:after="240"/>
              <w:ind w:left="0" w:hanging="2"/>
              <w:rPr>
                <w:rFonts w:ascii="Times New Roman" w:eastAsia="Times New Roman" w:hAnsi="Times New Roman" w:cs="Times New Roman"/>
                <w:sz w:val="26"/>
                <w:szCs w:val="26"/>
              </w:rPr>
            </w:pPr>
            <w:r>
              <w:pict w14:anchorId="3FCE07DF">
                <v:rect id="_x0000_i1026" style="width:0;height:1.5pt" o:hralign="center" o:hrstd="t" o:hr="t" fillcolor="#a0a0a0" stroked="f"/>
              </w:pict>
            </w:r>
          </w:p>
          <w:p w14:paraId="393745EA" w14:textId="77777777" w:rsidR="000C177D" w:rsidRDefault="00000000">
            <w:pPr>
              <w:pStyle w:val="Heading3"/>
              <w:keepNext w:val="0"/>
              <w:keepLines w:val="0"/>
              <w:spacing w:before="280"/>
              <w:ind w:left="1" w:hanging="3"/>
              <w:rPr>
                <w:rFonts w:ascii="Times New Roman" w:eastAsia="Times New Roman" w:hAnsi="Times New Roman" w:cs="Times New Roman"/>
                <w:b/>
                <w:color w:val="00000A"/>
                <w:sz w:val="26"/>
                <w:szCs w:val="26"/>
              </w:rPr>
            </w:pPr>
            <w:bookmarkStart w:id="5" w:name="_heading=h.glnqxo5ypx1" w:colFirst="0" w:colLast="0"/>
            <w:bookmarkEnd w:id="5"/>
            <w:r>
              <w:rPr>
                <w:rFonts w:ascii="Times New Roman" w:eastAsia="Times New Roman" w:hAnsi="Times New Roman" w:cs="Times New Roman"/>
                <w:b/>
                <w:color w:val="00000A"/>
                <w:sz w:val="26"/>
                <w:szCs w:val="26"/>
              </w:rPr>
              <w:t>Proportion of Gender by Exam Scores</w:t>
            </w:r>
          </w:p>
          <w:p w14:paraId="1881E5E5" w14:textId="77777777" w:rsidR="000C177D" w:rsidRDefault="00000000">
            <w:pPr>
              <w:numPr>
                <w:ilvl w:val="0"/>
                <w:numId w:val="4"/>
              </w:numPr>
              <w:spacing w:before="240"/>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Type of Plot</w:t>
            </w:r>
            <w:r>
              <w:rPr>
                <w:rFonts w:ascii="Times New Roman" w:eastAsia="Times New Roman" w:hAnsi="Times New Roman" w:cs="Times New Roman"/>
                <w:sz w:val="26"/>
                <w:szCs w:val="26"/>
              </w:rPr>
              <w:t>: Pie Chart</w:t>
            </w:r>
          </w:p>
          <w:p w14:paraId="4A5D4B65" w14:textId="77777777" w:rsidR="000C177D" w:rsidRDefault="00000000">
            <w:pPr>
              <w:numPr>
                <w:ilvl w:val="0"/>
                <w:numId w:val="4"/>
              </w:numPr>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Observations</w:t>
            </w:r>
            <w:r>
              <w:rPr>
                <w:rFonts w:ascii="Times New Roman" w:eastAsia="Times New Roman" w:hAnsi="Times New Roman" w:cs="Times New Roman"/>
                <w:sz w:val="26"/>
                <w:szCs w:val="26"/>
              </w:rPr>
              <w:t>:</w:t>
            </w:r>
          </w:p>
          <w:p w14:paraId="78224D49" w14:textId="77777777" w:rsidR="000C177D" w:rsidRDefault="00000000">
            <w:pPr>
              <w:numPr>
                <w:ilvl w:val="1"/>
                <w:numId w:val="4"/>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 higher percentage of females are represented in the exam scores than males.</w:t>
            </w:r>
          </w:p>
          <w:p w14:paraId="56FBE36D" w14:textId="77777777" w:rsidR="000C177D" w:rsidRDefault="00000000">
            <w:pPr>
              <w:numPr>
                <w:ilvl w:val="1"/>
                <w:numId w:val="4"/>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This could indicate that more females are taking the exams or performing at this level.</w:t>
            </w:r>
          </w:p>
          <w:p w14:paraId="1850BAD2" w14:textId="77777777" w:rsidR="000C177D" w:rsidRDefault="00000000">
            <w:pPr>
              <w:numPr>
                <w:ilvl w:val="1"/>
                <w:numId w:val="4"/>
              </w:numPr>
              <w:spacing w:after="240"/>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It may reflect gender-based enrollment trends or differences in academic performance within this dataset.</w:t>
            </w:r>
          </w:p>
          <w:p w14:paraId="6C1BC52E" w14:textId="77777777" w:rsidR="000C177D" w:rsidRDefault="00000000">
            <w:pPr>
              <w:spacing w:after="240"/>
              <w:ind w:left="0" w:hanging="2"/>
              <w:rPr>
                <w:rFonts w:ascii="Times New Roman" w:eastAsia="Times New Roman" w:hAnsi="Times New Roman" w:cs="Times New Roman"/>
                <w:sz w:val="26"/>
                <w:szCs w:val="26"/>
              </w:rPr>
            </w:pPr>
            <w:r>
              <w:pict w14:anchorId="5E10C882">
                <v:rect id="_x0000_i1027" style="width:0;height:1.5pt" o:hralign="center" o:hrstd="t" o:hr="t" fillcolor="#a0a0a0" stroked="f"/>
              </w:pict>
            </w:r>
          </w:p>
          <w:p w14:paraId="00686D13" w14:textId="77777777" w:rsidR="000C177D" w:rsidRDefault="00000000">
            <w:pPr>
              <w:pStyle w:val="Heading3"/>
              <w:keepNext w:val="0"/>
              <w:keepLines w:val="0"/>
              <w:spacing w:before="280"/>
              <w:ind w:left="1" w:hanging="3"/>
              <w:rPr>
                <w:rFonts w:ascii="Times New Roman" w:eastAsia="Times New Roman" w:hAnsi="Times New Roman" w:cs="Times New Roman"/>
                <w:b/>
                <w:color w:val="00000A"/>
                <w:sz w:val="26"/>
                <w:szCs w:val="26"/>
              </w:rPr>
            </w:pPr>
            <w:bookmarkStart w:id="6" w:name="_heading=h.s54nevbj5u9u" w:colFirst="0" w:colLast="0"/>
            <w:bookmarkEnd w:id="6"/>
            <w:r>
              <w:rPr>
                <w:rFonts w:ascii="Times New Roman" w:eastAsia="Times New Roman" w:hAnsi="Times New Roman" w:cs="Times New Roman"/>
                <w:b/>
                <w:color w:val="00000A"/>
                <w:sz w:val="26"/>
                <w:szCs w:val="26"/>
              </w:rPr>
              <w:t>Exam Score vs. Hours Studied</w:t>
            </w:r>
          </w:p>
          <w:p w14:paraId="412D3304" w14:textId="77777777" w:rsidR="000C177D" w:rsidRDefault="00000000">
            <w:pPr>
              <w:numPr>
                <w:ilvl w:val="0"/>
                <w:numId w:val="5"/>
              </w:numPr>
              <w:spacing w:before="240"/>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Type of Plot</w:t>
            </w:r>
            <w:r>
              <w:rPr>
                <w:rFonts w:ascii="Times New Roman" w:eastAsia="Times New Roman" w:hAnsi="Times New Roman" w:cs="Times New Roman"/>
                <w:sz w:val="26"/>
                <w:szCs w:val="26"/>
              </w:rPr>
              <w:t>: Scatter Plot with Regression Line</w:t>
            </w:r>
          </w:p>
          <w:p w14:paraId="7E0AF45F" w14:textId="77777777" w:rsidR="000C177D" w:rsidRDefault="00000000">
            <w:pPr>
              <w:numPr>
                <w:ilvl w:val="0"/>
                <w:numId w:val="5"/>
              </w:numPr>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Observations</w:t>
            </w:r>
            <w:r>
              <w:rPr>
                <w:rFonts w:ascii="Times New Roman" w:eastAsia="Times New Roman" w:hAnsi="Times New Roman" w:cs="Times New Roman"/>
                <w:sz w:val="26"/>
                <w:szCs w:val="26"/>
              </w:rPr>
              <w:t>:</w:t>
            </w:r>
          </w:p>
          <w:p w14:paraId="054DD986" w14:textId="77777777" w:rsidR="000C177D" w:rsidRDefault="00000000">
            <w:pPr>
              <w:numPr>
                <w:ilvl w:val="1"/>
                <w:numId w:val="5"/>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There is a slight positive correlation between hours studied and exam score, as shown by the upward trend in the regression line.</w:t>
            </w:r>
          </w:p>
          <w:p w14:paraId="169EAAA5" w14:textId="77777777" w:rsidR="000C177D" w:rsidRDefault="00000000">
            <w:pPr>
              <w:numPr>
                <w:ilvl w:val="1"/>
                <w:numId w:val="5"/>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However, there is a high variance in scores for each study hour amount, indicating that some students score high even with fewer study hours, while others study more but do not score as high.</w:t>
            </w:r>
          </w:p>
          <w:p w14:paraId="600541EC" w14:textId="77777777" w:rsidR="000C177D" w:rsidRDefault="00000000">
            <w:pPr>
              <w:numPr>
                <w:ilvl w:val="1"/>
                <w:numId w:val="5"/>
              </w:numPr>
              <w:spacing w:after="240"/>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This suggests that while study hours can impact performance, other factors (like study quality, personal ability, or external support) also play a significant role.</w:t>
            </w:r>
          </w:p>
          <w:p w14:paraId="44BEED99" w14:textId="77777777" w:rsidR="000C177D" w:rsidRDefault="00000000">
            <w:pPr>
              <w:spacing w:after="240"/>
              <w:ind w:left="0" w:hanging="2"/>
              <w:rPr>
                <w:rFonts w:ascii="Times New Roman" w:eastAsia="Times New Roman" w:hAnsi="Times New Roman" w:cs="Times New Roman"/>
                <w:sz w:val="26"/>
                <w:szCs w:val="26"/>
              </w:rPr>
            </w:pPr>
            <w:r>
              <w:pict w14:anchorId="44E90801">
                <v:rect id="_x0000_i1028" style="width:0;height:1.5pt" o:hralign="center" o:hrstd="t" o:hr="t" fillcolor="#a0a0a0" stroked="f"/>
              </w:pict>
            </w:r>
          </w:p>
          <w:p w14:paraId="6BADF1E1" w14:textId="77777777" w:rsidR="000C177D" w:rsidRDefault="00000000">
            <w:pPr>
              <w:pStyle w:val="Heading3"/>
              <w:keepNext w:val="0"/>
              <w:keepLines w:val="0"/>
              <w:spacing w:before="280"/>
              <w:ind w:left="1" w:hanging="3"/>
              <w:rPr>
                <w:rFonts w:ascii="Times New Roman" w:eastAsia="Times New Roman" w:hAnsi="Times New Roman" w:cs="Times New Roman"/>
                <w:b/>
                <w:color w:val="00000A"/>
                <w:sz w:val="26"/>
                <w:szCs w:val="26"/>
              </w:rPr>
            </w:pPr>
            <w:bookmarkStart w:id="7" w:name="_heading=h.qe5sb6mw8nls" w:colFirst="0" w:colLast="0"/>
            <w:bookmarkEnd w:id="7"/>
            <w:r>
              <w:rPr>
                <w:rFonts w:ascii="Times New Roman" w:eastAsia="Times New Roman" w:hAnsi="Times New Roman" w:cs="Times New Roman"/>
                <w:b/>
                <w:color w:val="00000A"/>
                <w:sz w:val="26"/>
                <w:szCs w:val="26"/>
              </w:rPr>
              <w:t>Parental Involvement vs. Exam Score</w:t>
            </w:r>
          </w:p>
          <w:p w14:paraId="0B2522C7" w14:textId="77777777" w:rsidR="000C177D" w:rsidRDefault="00000000">
            <w:pPr>
              <w:numPr>
                <w:ilvl w:val="0"/>
                <w:numId w:val="3"/>
              </w:numPr>
              <w:spacing w:before="240"/>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Type of Plot</w:t>
            </w:r>
            <w:r>
              <w:rPr>
                <w:rFonts w:ascii="Times New Roman" w:eastAsia="Times New Roman" w:hAnsi="Times New Roman" w:cs="Times New Roman"/>
                <w:sz w:val="26"/>
                <w:szCs w:val="26"/>
              </w:rPr>
              <w:t>: Box Plot</w:t>
            </w:r>
          </w:p>
          <w:p w14:paraId="2AB3DE46" w14:textId="77777777" w:rsidR="000C177D" w:rsidRDefault="00000000">
            <w:pPr>
              <w:numPr>
                <w:ilvl w:val="0"/>
                <w:numId w:val="3"/>
              </w:numPr>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Observations</w:t>
            </w:r>
            <w:r>
              <w:rPr>
                <w:rFonts w:ascii="Times New Roman" w:eastAsia="Times New Roman" w:hAnsi="Times New Roman" w:cs="Times New Roman"/>
                <w:sz w:val="26"/>
                <w:szCs w:val="26"/>
              </w:rPr>
              <w:t>:</w:t>
            </w:r>
          </w:p>
          <w:p w14:paraId="5162DCD3" w14:textId="77777777" w:rsidR="000C177D" w:rsidRDefault="00000000">
            <w:pPr>
              <w:numPr>
                <w:ilvl w:val="1"/>
                <w:numId w:val="3"/>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Students with high parental involvement tend to have higher median exam scores, with a broader range of scores observed.</w:t>
            </w:r>
          </w:p>
          <w:p w14:paraId="58BE69BC" w14:textId="77777777" w:rsidR="000C177D" w:rsidRDefault="00000000">
            <w:pPr>
              <w:numPr>
                <w:ilvl w:val="1"/>
                <w:numId w:val="3"/>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median exam scores for students with low and medium parental involvement are lower compared to those with high involvement.</w:t>
            </w:r>
          </w:p>
          <w:p w14:paraId="1BEB3E65" w14:textId="77777777" w:rsidR="000C177D" w:rsidRDefault="00000000">
            <w:pPr>
              <w:numPr>
                <w:ilvl w:val="1"/>
                <w:numId w:val="3"/>
              </w:num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This pattern suggests that higher parental involvement may positively impact students' academic performance, but there are outliers in each category.</w:t>
            </w:r>
          </w:p>
          <w:p w14:paraId="2AC56E27" w14:textId="77777777" w:rsidR="000C177D" w:rsidRDefault="00000000">
            <w:pPr>
              <w:numPr>
                <w:ilvl w:val="1"/>
                <w:numId w:val="3"/>
              </w:numPr>
              <w:spacing w:after="240"/>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range for high parental involvement shows a wider spread, indicating that while some high-involvement students excel, there is still variability in performance.</w:t>
            </w:r>
          </w:p>
          <w:p w14:paraId="731F9040" w14:textId="77777777" w:rsidR="000C177D" w:rsidRDefault="000C177D">
            <w:pPr>
              <w:spacing w:after="240"/>
              <w:ind w:left="1" w:hanging="3"/>
              <w:rPr>
                <w:rFonts w:ascii="Times New Roman" w:eastAsia="Times New Roman" w:hAnsi="Times New Roman" w:cs="Times New Roman"/>
                <w:b/>
                <w:sz w:val="26"/>
                <w:szCs w:val="26"/>
              </w:rPr>
            </w:pPr>
          </w:p>
        </w:tc>
      </w:tr>
      <w:tr w:rsidR="000C177D" w14:paraId="44210040" w14:textId="77777777">
        <w:trPr>
          <w:trHeight w:val="572"/>
        </w:trPr>
        <w:tc>
          <w:tcPr>
            <w:tcW w:w="1875" w:type="dxa"/>
            <w:tcBorders>
              <w:top w:val="single" w:sz="8" w:space="0" w:color="000001"/>
              <w:left w:val="single" w:sz="8" w:space="0" w:color="000001"/>
              <w:bottom w:val="single" w:sz="8" w:space="0" w:color="000001"/>
              <w:right w:val="single" w:sz="8" w:space="0" w:color="000001"/>
            </w:tcBorders>
            <w:tcMar>
              <w:left w:w="80" w:type="dxa"/>
            </w:tcMar>
          </w:tcPr>
          <w:p w14:paraId="6F05D12D" w14:textId="77777777" w:rsidR="000C177D" w:rsidRDefault="00000000">
            <w:pPr>
              <w:spacing w:line="240" w:lineRule="auto"/>
              <w:ind w:left="0" w:hanging="2"/>
            </w:pPr>
            <w:r>
              <w:rPr>
                <w:rFonts w:ascii="Times New Roman" w:eastAsia="Times New Roman" w:hAnsi="Times New Roman" w:cs="Times New Roman"/>
                <w:b/>
                <w:sz w:val="24"/>
                <w:szCs w:val="24"/>
              </w:rPr>
              <w:lastRenderedPageBreak/>
              <w:t>CONCLUSION</w:t>
            </w:r>
          </w:p>
        </w:tc>
        <w:tc>
          <w:tcPr>
            <w:tcW w:w="7920" w:type="dxa"/>
            <w:tcBorders>
              <w:top w:val="single" w:sz="8" w:space="0" w:color="000001"/>
              <w:left w:val="single" w:sz="8" w:space="0" w:color="000001"/>
              <w:bottom w:val="single" w:sz="8" w:space="0" w:color="000001"/>
              <w:right w:val="single" w:sz="8" w:space="0" w:color="000001"/>
            </w:tcBorders>
            <w:tcMar>
              <w:left w:w="80" w:type="dxa"/>
            </w:tcMar>
          </w:tcPr>
          <w:p w14:paraId="4D36A33C" w14:textId="77777777" w:rsidR="000C177D" w:rsidRDefault="00000000">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conclusion, this Big Data Dashboard on the "Education Sector" provides a comprehensive overview of key education metrics, such as average exam scores, participation in extracurricular activities, parental involvement, and gender distribution. The dashboard emphasizes a positive correlation between parental involvement, study hours, and academic performance, highlighting areas where additional support and resources could boost student success. By tracking these metrics over time, the dashboard helps identify where targeted interventions in study support, extracurricular opportunities, and family engagement could have the most impact, supporting global efforts to improve educational outcomes and equity.</w:t>
            </w:r>
          </w:p>
        </w:tc>
      </w:tr>
    </w:tbl>
    <w:p w14:paraId="41136DB8" w14:textId="77777777" w:rsidR="000C177D" w:rsidRDefault="000C177D">
      <w:pPr>
        <w:ind w:left="0" w:hanging="2"/>
      </w:pPr>
    </w:p>
    <w:sectPr w:rsidR="000C177D">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D0D21"/>
    <w:multiLevelType w:val="multilevel"/>
    <w:tmpl w:val="A950D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040B7F"/>
    <w:multiLevelType w:val="multilevel"/>
    <w:tmpl w:val="6C72D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8C4241"/>
    <w:multiLevelType w:val="multilevel"/>
    <w:tmpl w:val="E6701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6F552F"/>
    <w:multiLevelType w:val="multilevel"/>
    <w:tmpl w:val="7032A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371115"/>
    <w:multiLevelType w:val="multilevel"/>
    <w:tmpl w:val="10201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1564536">
    <w:abstractNumId w:val="2"/>
  </w:num>
  <w:num w:numId="2" w16cid:durableId="1076516588">
    <w:abstractNumId w:val="4"/>
  </w:num>
  <w:num w:numId="3" w16cid:durableId="211157929">
    <w:abstractNumId w:val="3"/>
  </w:num>
  <w:num w:numId="4" w16cid:durableId="26101579">
    <w:abstractNumId w:val="1"/>
  </w:num>
  <w:num w:numId="5" w16cid:durableId="36491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7D"/>
    <w:rsid w:val="000C177D"/>
    <w:rsid w:val="003614E4"/>
    <w:rsid w:val="00821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3288"/>
  <w15:docId w15:val="{598BCB4E-94F2-473F-98D2-89A271D3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styleId="BodyText">
    <w:name w:val="Body Text"/>
    <w:basedOn w:val="Normal"/>
    <w:pPr>
      <w:spacing w:after="140" w:line="288" w:lineRule="auto"/>
    </w:pPr>
  </w:style>
  <w:style w:type="paragraph" w:styleId="Caption">
    <w:name w:val="caption"/>
    <w:basedOn w:val="Normal"/>
    <w:pPr>
      <w:suppressLineNumbers/>
      <w:spacing w:before="120" w:after="120"/>
    </w:pPr>
    <w:rPr>
      <w:i/>
      <w:iCs/>
      <w:sz w:val="24"/>
      <w:szCs w:val="24"/>
    </w:rPr>
  </w:style>
  <w:style w:type="paragraph" w:styleId="List">
    <w:name w:val="List"/>
    <w:basedOn w:val="BodyText"/>
  </w:style>
  <w:style w:type="paragraph" w:styleId="Subtitle">
    <w:name w:val="Subtitle"/>
    <w:basedOn w:val="LO-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customStyle="1" w:styleId="Index">
    <w:name w:val="Index"/>
    <w:basedOn w:val="Normal"/>
    <w:pPr>
      <w:suppressLineNumbers/>
    </w:p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tblPr>
      <w:tblStyleRowBandSize w:val="1"/>
      <w:tblStyleColBandSize w:val="1"/>
      <w:tblCellMar>
        <w:top w:w="100" w:type="dxa"/>
        <w:left w:w="80" w:type="dxa"/>
        <w:bottom w:w="100" w:type="dxa"/>
        <w:right w:w="100"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 w:type="table" w:customStyle="1" w:styleId="a3">
    <w:basedOn w:val="TableNormal"/>
    <w:tblPr>
      <w:tblStyleRowBandSize w:val="1"/>
      <w:tblStyleColBandSize w:val="1"/>
      <w:tblCellMar>
        <w:top w:w="100" w:type="dxa"/>
        <w:left w:w="80" w:type="dxa"/>
        <w:bottom w:w="100" w:type="dxa"/>
        <w:right w:w="100" w:type="dxa"/>
      </w:tblCellMar>
    </w:tblPr>
  </w:style>
  <w:style w:type="table" w:customStyle="1" w:styleId="a4">
    <w:basedOn w:val="TableNormal"/>
    <w:tblPr>
      <w:tblStyleRowBandSize w:val="1"/>
      <w:tblStyleColBandSize w:val="1"/>
      <w:tblCellMar>
        <w:top w:w="100" w:type="dxa"/>
        <w:left w:w="80" w:type="dxa"/>
        <w:bottom w:w="100" w:type="dxa"/>
        <w:right w:w="100" w:type="dxa"/>
      </w:tblCellMar>
    </w:tblPr>
  </w:style>
  <w:style w:type="table" w:customStyle="1" w:styleId="a5">
    <w:basedOn w:val="TableNormal"/>
    <w:tblPr>
      <w:tblStyleRowBandSize w:val="1"/>
      <w:tblStyleColBandSize w:val="1"/>
      <w:tblCellMar>
        <w:top w:w="100" w:type="dxa"/>
        <w:left w:w="80" w:type="dxa"/>
        <w:bottom w:w="100" w:type="dxa"/>
        <w:right w:w="100" w:type="dxa"/>
      </w:tblCellMar>
    </w:tblPr>
  </w:style>
  <w:style w:type="table" w:customStyle="1" w:styleId="a6">
    <w:basedOn w:val="TableNormal"/>
    <w:tblPr>
      <w:tblStyleRowBandSize w:val="1"/>
      <w:tblStyleColBandSize w:val="1"/>
      <w:tblCellMar>
        <w:top w:w="100" w:type="dxa"/>
        <w:left w:w="80" w:type="dxa"/>
        <w:bottom w:w="100" w:type="dxa"/>
        <w:right w:w="100" w:type="dxa"/>
      </w:tblCellMar>
    </w:tblPr>
  </w:style>
  <w:style w:type="table" w:customStyle="1" w:styleId="a7">
    <w:basedOn w:val="TableNormal"/>
    <w:tblPr>
      <w:tblStyleRowBandSize w:val="1"/>
      <w:tblStyleColBandSize w:val="1"/>
      <w:tblCellMar>
        <w:top w:w="100" w:type="dxa"/>
        <w:left w:w="80" w:type="dxa"/>
        <w:bottom w:w="100" w:type="dxa"/>
        <w:right w:w="100" w:type="dxa"/>
      </w:tblCellMar>
    </w:tblPr>
  </w:style>
  <w:style w:type="table" w:customStyle="1" w:styleId="a8">
    <w:basedOn w:val="TableNormal"/>
    <w:tblPr>
      <w:tblStyleRowBandSize w:val="1"/>
      <w:tblStyleColBandSize w:val="1"/>
      <w:tblCellMar>
        <w:top w:w="100" w:type="dxa"/>
        <w:left w:w="80" w:type="dxa"/>
        <w:bottom w:w="100" w:type="dxa"/>
        <w:right w:w="100" w:type="dxa"/>
      </w:tblCellMar>
    </w:tblPr>
  </w:style>
  <w:style w:type="table" w:customStyle="1" w:styleId="a9">
    <w:basedOn w:val="TableNormal"/>
    <w:tblPr>
      <w:tblStyleRowBandSize w:val="1"/>
      <w:tblStyleColBandSize w:val="1"/>
      <w:tblCellMar>
        <w:top w:w="100" w:type="dxa"/>
        <w:left w:w="80" w:type="dxa"/>
        <w:bottom w:w="100" w:type="dxa"/>
        <w:right w:w="100" w:type="dxa"/>
      </w:tblCellMar>
    </w:tblPr>
  </w:style>
  <w:style w:type="table" w:customStyle="1" w:styleId="aa">
    <w:basedOn w:val="TableNormal"/>
    <w:tblPr>
      <w:tblStyleRowBandSize w:val="1"/>
      <w:tblStyleColBandSize w:val="1"/>
      <w:tblCellMar>
        <w:top w:w="100" w:type="dxa"/>
        <w:left w:w="80" w:type="dxa"/>
        <w:bottom w:w="100" w:type="dxa"/>
        <w:right w:w="100" w:type="dxa"/>
      </w:tblCellMar>
    </w:tblPr>
  </w:style>
  <w:style w:type="table" w:customStyle="1" w:styleId="ab">
    <w:basedOn w:val="TableNormal"/>
    <w:tblPr>
      <w:tblStyleRowBandSize w:val="1"/>
      <w:tblStyleColBandSize w:val="1"/>
      <w:tblCellMar>
        <w:top w:w="100" w:type="dxa"/>
        <w:left w:w="80" w:type="dxa"/>
        <w:bottom w:w="100" w:type="dxa"/>
        <w:right w:w="100" w:type="dxa"/>
      </w:tblCellMar>
    </w:tblPr>
  </w:style>
  <w:style w:type="table" w:customStyle="1" w:styleId="ac">
    <w:basedOn w:val="TableNormal"/>
    <w:tblPr>
      <w:tblStyleRowBandSize w:val="1"/>
      <w:tblStyleColBandSize w:val="1"/>
      <w:tblCellMar>
        <w:top w:w="100" w:type="dxa"/>
        <w:left w:w="80" w:type="dxa"/>
        <w:bottom w:w="100" w:type="dxa"/>
        <w:right w:w="100" w:type="dxa"/>
      </w:tblCellMar>
    </w:tblPr>
  </w:style>
  <w:style w:type="table" w:customStyle="1" w:styleId="ad">
    <w:basedOn w:val="TableNormal"/>
    <w:tblPr>
      <w:tblStyleRowBandSize w:val="1"/>
      <w:tblStyleColBandSize w:val="1"/>
      <w:tblCellMar>
        <w:top w:w="100" w:type="dxa"/>
        <w:left w:w="80" w:type="dxa"/>
        <w:bottom w:w="100" w:type="dxa"/>
        <w:right w:w="100" w:type="dxa"/>
      </w:tblCellMar>
    </w:tblPr>
  </w:style>
  <w:style w:type="table" w:customStyle="1" w:styleId="ae">
    <w:basedOn w:val="TableNormal"/>
    <w:tblPr>
      <w:tblStyleRowBandSize w:val="1"/>
      <w:tblStyleColBandSize w:val="1"/>
      <w:tblCellMar>
        <w:top w:w="100" w:type="dxa"/>
        <w:left w:w="80" w:type="dxa"/>
        <w:bottom w:w="100" w:type="dxa"/>
        <w:right w:w="100" w:type="dxa"/>
      </w:tblCellMar>
    </w:tblPr>
  </w:style>
  <w:style w:type="table" w:customStyle="1" w:styleId="af">
    <w:basedOn w:val="TableNormal"/>
    <w:tblPr>
      <w:tblStyleRowBandSize w:val="1"/>
      <w:tblStyleColBandSize w:val="1"/>
      <w:tblCellMar>
        <w:top w:w="100" w:type="dxa"/>
        <w:left w:w="80" w:type="dxa"/>
        <w:bottom w:w="100" w:type="dxa"/>
        <w:right w:w="100" w:type="dxa"/>
      </w:tblCellMar>
    </w:tblPr>
  </w:style>
  <w:style w:type="table" w:customStyle="1" w:styleId="af0">
    <w:basedOn w:val="TableNormal"/>
    <w:tblPr>
      <w:tblStyleRowBandSize w:val="1"/>
      <w:tblStyleColBandSize w:val="1"/>
      <w:tblCellMar>
        <w:top w:w="100" w:type="dxa"/>
        <w:left w:w="80" w:type="dxa"/>
        <w:bottom w:w="100" w:type="dxa"/>
        <w:right w:w="100" w:type="dxa"/>
      </w:tblCellMar>
    </w:tblPr>
  </w:style>
  <w:style w:type="table" w:customStyle="1" w:styleId="af1">
    <w:basedOn w:val="TableNormal"/>
    <w:tblPr>
      <w:tblStyleRowBandSize w:val="1"/>
      <w:tblStyleColBandSize w:val="1"/>
      <w:tblCellMar>
        <w:top w:w="100" w:type="dxa"/>
        <w:left w:w="80" w:type="dxa"/>
        <w:bottom w:w="100" w:type="dxa"/>
        <w:right w:w="100" w:type="dxa"/>
      </w:tblCellMar>
    </w:tblPr>
  </w:style>
  <w:style w:type="table" w:customStyle="1" w:styleId="af2">
    <w:basedOn w:val="TableNormal"/>
    <w:tblPr>
      <w:tblStyleRowBandSize w:val="1"/>
      <w:tblStyleColBandSize w:val="1"/>
      <w:tblCellMar>
        <w:top w:w="100" w:type="dxa"/>
        <w:left w:w="80" w:type="dxa"/>
        <w:bottom w:w="100" w:type="dxa"/>
        <w:right w:w="100" w:type="dxa"/>
      </w:tblCellMar>
    </w:tblPr>
  </w:style>
  <w:style w:type="table" w:customStyle="1" w:styleId="af3">
    <w:basedOn w:val="TableNormal"/>
    <w:tblPr>
      <w:tblStyleRowBandSize w:val="1"/>
      <w:tblStyleColBandSize w:val="1"/>
      <w:tblCellMar>
        <w:top w:w="100" w:type="dxa"/>
        <w:left w:w="80" w:type="dxa"/>
        <w:bottom w:w="100" w:type="dxa"/>
        <w:right w:w="100" w:type="dxa"/>
      </w:tblCellMar>
    </w:tblPr>
  </w:style>
  <w:style w:type="table" w:customStyle="1" w:styleId="af4">
    <w:basedOn w:val="TableNormal"/>
    <w:tblPr>
      <w:tblStyleRowBandSize w:val="1"/>
      <w:tblStyleColBandSize w:val="1"/>
      <w:tblCellMar>
        <w:top w:w="100" w:type="dxa"/>
        <w:left w:w="80" w:type="dxa"/>
        <w:bottom w:w="100" w:type="dxa"/>
        <w:right w:w="100" w:type="dxa"/>
      </w:tblCellMar>
    </w:tblPr>
  </w:style>
  <w:style w:type="table" w:customStyle="1" w:styleId="af5">
    <w:basedOn w:val="TableNormal"/>
    <w:tblPr>
      <w:tblStyleRowBandSize w:val="1"/>
      <w:tblStyleColBandSize w:val="1"/>
      <w:tblCellMar>
        <w:top w:w="100" w:type="dxa"/>
        <w:left w:w="80" w:type="dxa"/>
        <w:bottom w:w="100" w:type="dxa"/>
        <w:right w:w="100" w:type="dxa"/>
      </w:tblCellMar>
    </w:tblPr>
  </w:style>
  <w:style w:type="table" w:customStyle="1" w:styleId="af6">
    <w:basedOn w:val="TableNormal"/>
    <w:tblPr>
      <w:tblStyleRowBandSize w:val="1"/>
      <w:tblStyleColBandSize w:val="1"/>
      <w:tblCellMar>
        <w:top w:w="100" w:type="dxa"/>
        <w:left w:w="80" w:type="dxa"/>
        <w:bottom w:w="100" w:type="dxa"/>
        <w:right w:w="100" w:type="dxa"/>
      </w:tblCellMar>
    </w:tblPr>
  </w:style>
  <w:style w:type="table" w:customStyle="1" w:styleId="af7">
    <w:basedOn w:val="TableNormal"/>
    <w:tblPr>
      <w:tblStyleRowBandSize w:val="1"/>
      <w:tblStyleColBandSize w:val="1"/>
      <w:tblCellMar>
        <w:top w:w="100" w:type="dxa"/>
        <w:left w:w="80" w:type="dxa"/>
        <w:bottom w:w="100" w:type="dxa"/>
        <w:right w:w="100" w:type="dxa"/>
      </w:tblCellMar>
    </w:tblPr>
  </w:style>
  <w:style w:type="table" w:customStyle="1" w:styleId="af8">
    <w:basedOn w:val="TableNormal"/>
    <w:tblPr>
      <w:tblStyleRowBandSize w:val="1"/>
      <w:tblStyleColBandSize w:val="1"/>
      <w:tblCellMar>
        <w:top w:w="100" w:type="dxa"/>
        <w:left w:w="80" w:type="dxa"/>
        <w:bottom w:w="100" w:type="dxa"/>
        <w:right w:w="100" w:type="dxa"/>
      </w:tblCellMar>
    </w:tblPr>
  </w:style>
  <w:style w:type="table" w:customStyle="1" w:styleId="af9">
    <w:basedOn w:val="TableNormal"/>
    <w:tblPr>
      <w:tblStyleRowBandSize w:val="1"/>
      <w:tblStyleColBandSize w:val="1"/>
      <w:tblCellMar>
        <w:top w:w="100" w:type="dxa"/>
        <w:left w:w="80" w:type="dxa"/>
        <w:bottom w:w="100" w:type="dxa"/>
        <w:right w:w="100" w:type="dxa"/>
      </w:tblCellMar>
    </w:tblPr>
  </w:style>
  <w:style w:type="table" w:customStyle="1" w:styleId="afa">
    <w:basedOn w:val="TableNormal"/>
    <w:tblPr>
      <w:tblStyleRowBandSize w:val="1"/>
      <w:tblStyleColBandSize w:val="1"/>
      <w:tblCellMar>
        <w:top w:w="100" w:type="dxa"/>
        <w:left w:w="8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ainguyn123/student-performance-factors/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noCKDa6mkOJ5ZmFMmLurI7aHcA==">CgMxLjAyDmgubWFkemtzeHhjdHhqMg5oLnZzZDAwaHN5djk3ZjIOaC5ycWk1ZXBtYzNtd3IyDmguYnEzbnhrbmJhemFkMg5oLjlpaTJyYmFqcHk0NTINaC5nbG5xeG81eXB4MTIOaC5zNTRuZXZiajV1OXUyDmgucWU1c2I2bXc4bmxzOAByITFZdXB5R3NfTEo4UXdyUUVNWGhKOW9iVnpGS21mbjZNdA==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Varshil Shah</cp:lastModifiedBy>
  <cp:revision>2</cp:revision>
  <dcterms:created xsi:type="dcterms:W3CDTF">2022-05-31T10:07:00Z</dcterms:created>
  <dcterms:modified xsi:type="dcterms:W3CDTF">2024-11-09T13:12:00Z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4E093F8E8965409397F4808864180843_12</vt:lpwstr>
  </property>
</Properties>
</file>