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A4708" w14:textId="77777777" w:rsidR="00236003" w:rsidRDefault="00236003">
      <w:pPr>
        <w:ind w:left="0" w:hanging="2"/>
        <w:rPr>
          <w:rFonts w:ascii="Times New Roman" w:eastAsia="Times New Roman" w:hAnsi="Times New Roman" w:cs="Times New Roman"/>
          <w:sz w:val="24"/>
          <w:szCs w:val="24"/>
        </w:rPr>
      </w:pPr>
    </w:p>
    <w:tbl>
      <w:tblPr>
        <w:tblStyle w:val="af7"/>
        <w:tblW w:w="9765" w:type="dxa"/>
        <w:tblInd w:w="-8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2295"/>
        <w:gridCol w:w="7470"/>
      </w:tblGrid>
      <w:tr w:rsidR="00236003" w14:paraId="39F3CC27" w14:textId="77777777">
        <w:tc>
          <w:tcPr>
            <w:tcW w:w="2295" w:type="dxa"/>
            <w:tcBorders>
              <w:top w:val="single" w:sz="8" w:space="0" w:color="000001"/>
              <w:left w:val="single" w:sz="8" w:space="0" w:color="000001"/>
              <w:bottom w:val="single" w:sz="8" w:space="0" w:color="000001"/>
              <w:right w:val="single" w:sz="8" w:space="0" w:color="000001"/>
            </w:tcBorders>
            <w:tcMar>
              <w:left w:w="80" w:type="dxa"/>
            </w:tcMar>
          </w:tcPr>
          <w:p w14:paraId="7FB3E1DB" w14:textId="77777777" w:rsidR="00236003" w:rsidRDefault="00000000">
            <w:pPr>
              <w:keepNext/>
              <w:spacing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b/>
                <w:sz w:val="26"/>
                <w:szCs w:val="26"/>
              </w:rPr>
              <w:t>Name:</w:t>
            </w:r>
          </w:p>
        </w:tc>
        <w:tc>
          <w:tcPr>
            <w:tcW w:w="7470" w:type="dxa"/>
            <w:tcBorders>
              <w:top w:val="single" w:sz="8" w:space="0" w:color="000001"/>
              <w:left w:val="single" w:sz="8" w:space="0" w:color="000001"/>
              <w:bottom w:val="single" w:sz="8" w:space="0" w:color="000001"/>
              <w:right w:val="single" w:sz="8" w:space="0" w:color="000001"/>
            </w:tcBorders>
            <w:tcMar>
              <w:left w:w="80" w:type="dxa"/>
            </w:tcMar>
          </w:tcPr>
          <w:p w14:paraId="32EC9A9A" w14:textId="0650340D" w:rsidR="00236003" w:rsidRPr="002355AF" w:rsidRDefault="002355AF">
            <w:pPr>
              <w:keepNext/>
              <w:spacing w:line="240" w:lineRule="auto"/>
              <w:ind w:left="1" w:hanging="3"/>
              <w:rPr>
                <w:rFonts w:ascii="Times New Roman" w:eastAsia="Times New Roman" w:hAnsi="Times New Roman" w:cs="Times New Roman"/>
                <w:sz w:val="26"/>
                <w:szCs w:val="26"/>
                <w:lang w:val="en-IN"/>
              </w:rPr>
            </w:pPr>
            <w:r>
              <w:rPr>
                <w:rFonts w:ascii="Times New Roman" w:eastAsia="Times New Roman" w:hAnsi="Times New Roman" w:cs="Times New Roman"/>
                <w:sz w:val="26"/>
                <w:szCs w:val="26"/>
                <w:lang w:val="en-IN"/>
              </w:rPr>
              <w:t>Varshil Shah</w:t>
            </w:r>
          </w:p>
        </w:tc>
      </w:tr>
      <w:tr w:rsidR="00236003" w14:paraId="7D568D66" w14:textId="77777777">
        <w:tc>
          <w:tcPr>
            <w:tcW w:w="2295" w:type="dxa"/>
            <w:tcBorders>
              <w:top w:val="single" w:sz="8" w:space="0" w:color="000001"/>
              <w:left w:val="single" w:sz="8" w:space="0" w:color="000001"/>
              <w:bottom w:val="single" w:sz="8" w:space="0" w:color="000001"/>
              <w:right w:val="single" w:sz="8" w:space="0" w:color="000001"/>
            </w:tcBorders>
            <w:tcMar>
              <w:left w:w="80" w:type="dxa"/>
            </w:tcMar>
          </w:tcPr>
          <w:p w14:paraId="58EBD593" w14:textId="77777777" w:rsidR="00236003" w:rsidRDefault="00000000">
            <w:pPr>
              <w:keepNext/>
              <w:spacing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UID: </w:t>
            </w:r>
          </w:p>
        </w:tc>
        <w:tc>
          <w:tcPr>
            <w:tcW w:w="7470" w:type="dxa"/>
            <w:tcBorders>
              <w:top w:val="single" w:sz="8" w:space="0" w:color="000001"/>
              <w:left w:val="single" w:sz="8" w:space="0" w:color="000001"/>
              <w:bottom w:val="single" w:sz="8" w:space="0" w:color="000001"/>
              <w:right w:val="single" w:sz="8" w:space="0" w:color="000001"/>
            </w:tcBorders>
            <w:tcMar>
              <w:left w:w="80" w:type="dxa"/>
            </w:tcMar>
          </w:tcPr>
          <w:p w14:paraId="6A6D4756" w14:textId="136D6EF0" w:rsidR="00236003" w:rsidRPr="002355AF" w:rsidRDefault="00000000">
            <w:pPr>
              <w:keepNext/>
              <w:spacing w:line="240" w:lineRule="auto"/>
              <w:ind w:left="1" w:hanging="3"/>
              <w:rPr>
                <w:rFonts w:ascii="Times New Roman" w:eastAsia="Times New Roman" w:hAnsi="Times New Roman" w:cs="Times New Roman"/>
                <w:sz w:val="26"/>
                <w:szCs w:val="26"/>
                <w:lang w:val="en-IN"/>
              </w:rPr>
            </w:pPr>
            <w:r>
              <w:rPr>
                <w:rFonts w:ascii="Times New Roman" w:eastAsia="Times New Roman" w:hAnsi="Times New Roman" w:cs="Times New Roman"/>
                <w:sz w:val="26"/>
                <w:szCs w:val="26"/>
              </w:rPr>
              <w:t>202230101</w:t>
            </w:r>
            <w:r w:rsidR="002355AF">
              <w:rPr>
                <w:rFonts w:ascii="Times New Roman" w:eastAsia="Times New Roman" w:hAnsi="Times New Roman" w:cs="Times New Roman"/>
                <w:sz w:val="26"/>
                <w:szCs w:val="26"/>
                <w:lang w:val="en-IN"/>
              </w:rPr>
              <w:t>3</w:t>
            </w:r>
          </w:p>
        </w:tc>
      </w:tr>
      <w:tr w:rsidR="00236003" w14:paraId="72AA6A59" w14:textId="77777777">
        <w:tc>
          <w:tcPr>
            <w:tcW w:w="2295" w:type="dxa"/>
            <w:tcBorders>
              <w:top w:val="single" w:sz="8" w:space="0" w:color="000001"/>
              <w:left w:val="single" w:sz="8" w:space="0" w:color="000001"/>
              <w:bottom w:val="single" w:sz="8" w:space="0" w:color="000001"/>
              <w:right w:val="single" w:sz="8" w:space="0" w:color="000001"/>
            </w:tcBorders>
            <w:tcMar>
              <w:left w:w="80" w:type="dxa"/>
            </w:tcMar>
          </w:tcPr>
          <w:p w14:paraId="7C7B761E" w14:textId="77777777" w:rsidR="00236003" w:rsidRDefault="00000000">
            <w:pPr>
              <w:keepNext/>
              <w:spacing w:line="240" w:lineRule="auto"/>
              <w:ind w:left="1" w:hanging="3"/>
              <w:rPr>
                <w:rFonts w:ascii="Times New Roman" w:eastAsia="Times New Roman" w:hAnsi="Times New Roman" w:cs="Times New Roman"/>
                <w:b/>
                <w:sz w:val="26"/>
                <w:szCs w:val="26"/>
              </w:rPr>
            </w:pPr>
            <w:r>
              <w:rPr>
                <w:rFonts w:ascii="Times New Roman" w:eastAsia="Times New Roman" w:hAnsi="Times New Roman" w:cs="Times New Roman"/>
                <w:b/>
                <w:sz w:val="26"/>
                <w:szCs w:val="26"/>
              </w:rPr>
              <w:t>Dept &amp; Batch</w:t>
            </w:r>
          </w:p>
        </w:tc>
        <w:tc>
          <w:tcPr>
            <w:tcW w:w="7470" w:type="dxa"/>
            <w:tcBorders>
              <w:top w:val="single" w:sz="8" w:space="0" w:color="000001"/>
              <w:left w:val="single" w:sz="8" w:space="0" w:color="000001"/>
              <w:bottom w:val="single" w:sz="8" w:space="0" w:color="000001"/>
              <w:right w:val="single" w:sz="8" w:space="0" w:color="000001"/>
            </w:tcBorders>
            <w:tcMar>
              <w:left w:w="80" w:type="dxa"/>
            </w:tcMar>
          </w:tcPr>
          <w:p w14:paraId="276F44AD" w14:textId="0063BCDA" w:rsidR="00236003" w:rsidRDefault="00000000">
            <w:pPr>
              <w:keepNext/>
              <w:spacing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COMPS (</w:t>
            </w:r>
            <w:r w:rsidR="002355AF">
              <w:rPr>
                <w:rFonts w:ascii="Times New Roman" w:eastAsia="Times New Roman" w:hAnsi="Times New Roman" w:cs="Times New Roman"/>
                <w:sz w:val="26"/>
                <w:szCs w:val="26"/>
                <w:lang w:val="en-IN"/>
              </w:rPr>
              <w:t>D</w:t>
            </w:r>
            <w:r>
              <w:rPr>
                <w:rFonts w:ascii="Times New Roman" w:eastAsia="Times New Roman" w:hAnsi="Times New Roman" w:cs="Times New Roman"/>
                <w:sz w:val="26"/>
                <w:szCs w:val="26"/>
              </w:rPr>
              <w:t>)</w:t>
            </w:r>
          </w:p>
        </w:tc>
      </w:tr>
      <w:tr w:rsidR="00236003" w14:paraId="536ED4D5" w14:textId="77777777">
        <w:tc>
          <w:tcPr>
            <w:tcW w:w="2295" w:type="dxa"/>
            <w:tcBorders>
              <w:top w:val="single" w:sz="8" w:space="0" w:color="000001"/>
              <w:left w:val="single" w:sz="8" w:space="0" w:color="000001"/>
              <w:bottom w:val="single" w:sz="8" w:space="0" w:color="000001"/>
              <w:right w:val="single" w:sz="8" w:space="0" w:color="000001"/>
            </w:tcBorders>
            <w:tcMar>
              <w:left w:w="80" w:type="dxa"/>
            </w:tcMar>
          </w:tcPr>
          <w:p w14:paraId="0EBEDFCE" w14:textId="77777777" w:rsidR="00236003" w:rsidRDefault="00000000">
            <w:pPr>
              <w:keepNext/>
              <w:spacing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b/>
                <w:sz w:val="26"/>
                <w:szCs w:val="26"/>
              </w:rPr>
              <w:t>Experiment No.</w:t>
            </w:r>
          </w:p>
        </w:tc>
        <w:tc>
          <w:tcPr>
            <w:tcW w:w="7470" w:type="dxa"/>
            <w:tcBorders>
              <w:top w:val="single" w:sz="8" w:space="0" w:color="000001"/>
              <w:left w:val="single" w:sz="8" w:space="0" w:color="000001"/>
              <w:bottom w:val="single" w:sz="8" w:space="0" w:color="000001"/>
              <w:right w:val="single" w:sz="8" w:space="0" w:color="000001"/>
            </w:tcBorders>
            <w:tcMar>
              <w:left w:w="80" w:type="dxa"/>
            </w:tcMar>
          </w:tcPr>
          <w:p w14:paraId="4B9CA4E5" w14:textId="77777777" w:rsidR="00236003" w:rsidRDefault="00000000">
            <w:pPr>
              <w:keepNext/>
              <w:spacing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r>
    </w:tbl>
    <w:p w14:paraId="5DE7E1F1" w14:textId="77777777" w:rsidR="00236003" w:rsidRDefault="00236003">
      <w:pPr>
        <w:ind w:left="0" w:hanging="2"/>
        <w:rPr>
          <w:rFonts w:ascii="Times New Roman" w:eastAsia="Times New Roman" w:hAnsi="Times New Roman" w:cs="Times New Roman"/>
          <w:sz w:val="24"/>
          <w:szCs w:val="24"/>
        </w:rPr>
      </w:pPr>
    </w:p>
    <w:tbl>
      <w:tblPr>
        <w:tblStyle w:val="af8"/>
        <w:tblW w:w="9795" w:type="dxa"/>
        <w:tblInd w:w="-8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1875"/>
        <w:gridCol w:w="7920"/>
      </w:tblGrid>
      <w:tr w:rsidR="00236003" w14:paraId="7A6F4C9B" w14:textId="77777777">
        <w:tc>
          <w:tcPr>
            <w:tcW w:w="1875" w:type="dxa"/>
            <w:tcBorders>
              <w:top w:val="single" w:sz="8" w:space="0" w:color="000001"/>
              <w:left w:val="single" w:sz="8" w:space="0" w:color="000001"/>
              <w:bottom w:val="single" w:sz="8" w:space="0" w:color="000001"/>
              <w:right w:val="single" w:sz="8" w:space="0" w:color="000001"/>
            </w:tcBorders>
            <w:tcMar>
              <w:left w:w="80" w:type="dxa"/>
            </w:tcMar>
          </w:tcPr>
          <w:p w14:paraId="23D3D057" w14:textId="77777777" w:rsidR="00236003" w:rsidRDefault="00000000">
            <w:pPr>
              <w:spacing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b/>
                <w:sz w:val="26"/>
                <w:szCs w:val="26"/>
              </w:rPr>
              <w:t>AIM:</w:t>
            </w:r>
          </w:p>
        </w:tc>
        <w:tc>
          <w:tcPr>
            <w:tcW w:w="7920" w:type="dxa"/>
            <w:tcBorders>
              <w:top w:val="single" w:sz="8" w:space="0" w:color="000001"/>
              <w:left w:val="single" w:sz="8" w:space="0" w:color="000001"/>
              <w:bottom w:val="single" w:sz="8" w:space="0" w:color="000001"/>
              <w:right w:val="single" w:sz="8" w:space="0" w:color="000001"/>
            </w:tcBorders>
            <w:tcMar>
              <w:left w:w="80" w:type="dxa"/>
            </w:tcMar>
          </w:tcPr>
          <w:p w14:paraId="0FEC61C4" w14:textId="77777777" w:rsidR="00236003" w:rsidRDefault="00000000">
            <w:pPr>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Design Big Data Dashboard using Tableau on dataset -Women empowerment / Gender participation</w:t>
            </w:r>
          </w:p>
        </w:tc>
      </w:tr>
      <w:tr w:rsidR="00236003" w14:paraId="270F5D7F" w14:textId="77777777">
        <w:tc>
          <w:tcPr>
            <w:tcW w:w="1875" w:type="dxa"/>
            <w:tcBorders>
              <w:top w:val="single" w:sz="8" w:space="0" w:color="000001"/>
              <w:left w:val="single" w:sz="8" w:space="0" w:color="000001"/>
              <w:bottom w:val="single" w:sz="8" w:space="0" w:color="000001"/>
              <w:right w:val="single" w:sz="8" w:space="0" w:color="000001"/>
            </w:tcBorders>
            <w:tcMar>
              <w:left w:w="80" w:type="dxa"/>
            </w:tcMar>
          </w:tcPr>
          <w:p w14:paraId="1ADABD30" w14:textId="77777777" w:rsidR="00236003" w:rsidRDefault="00000000">
            <w:pPr>
              <w:spacing w:line="240" w:lineRule="auto"/>
              <w:ind w:left="1" w:hanging="3"/>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Dataset:</w:t>
            </w:r>
          </w:p>
        </w:tc>
        <w:tc>
          <w:tcPr>
            <w:tcW w:w="7920" w:type="dxa"/>
            <w:tcBorders>
              <w:top w:val="single" w:sz="8" w:space="0" w:color="000001"/>
              <w:left w:val="single" w:sz="8" w:space="0" w:color="000001"/>
              <w:bottom w:val="single" w:sz="8" w:space="0" w:color="000001"/>
              <w:right w:val="single" w:sz="8" w:space="0" w:color="000001"/>
            </w:tcBorders>
            <w:tcMar>
              <w:left w:w="80" w:type="dxa"/>
            </w:tcMar>
          </w:tcPr>
          <w:p w14:paraId="54989D0C" w14:textId="77777777" w:rsidR="00236003" w:rsidRDefault="00000000">
            <w:pPr>
              <w:numPr>
                <w:ilvl w:val="0"/>
                <w:numId w:val="4"/>
              </w:numPr>
              <w:spacing w:before="480"/>
              <w:ind w:left="1" w:hanging="3"/>
              <w:rPr>
                <w:sz w:val="25"/>
                <w:szCs w:val="25"/>
              </w:rPr>
            </w:pPr>
            <w:r>
              <w:rPr>
                <w:rFonts w:ascii="Times New Roman" w:eastAsia="Times New Roman" w:hAnsi="Times New Roman" w:cs="Times New Roman"/>
                <w:b/>
                <w:color w:val="3C4043"/>
                <w:sz w:val="25"/>
                <w:szCs w:val="25"/>
              </w:rPr>
              <w:t>Country:</w:t>
            </w:r>
            <w:r>
              <w:rPr>
                <w:rFonts w:ascii="Times New Roman" w:eastAsia="Times New Roman" w:hAnsi="Times New Roman" w:cs="Times New Roman"/>
                <w:color w:val="3C4043"/>
                <w:sz w:val="25"/>
                <w:szCs w:val="25"/>
              </w:rPr>
              <w:t xml:space="preserve"> The name of the country or territory included in the dataset.</w:t>
            </w:r>
          </w:p>
          <w:p w14:paraId="7DCDC18D" w14:textId="77777777" w:rsidR="00236003" w:rsidRDefault="00000000">
            <w:pPr>
              <w:numPr>
                <w:ilvl w:val="0"/>
                <w:numId w:val="4"/>
              </w:numPr>
              <w:ind w:left="1" w:hanging="3"/>
              <w:rPr>
                <w:sz w:val="25"/>
                <w:szCs w:val="25"/>
              </w:rPr>
            </w:pPr>
            <w:r>
              <w:rPr>
                <w:rFonts w:ascii="Times New Roman" w:eastAsia="Times New Roman" w:hAnsi="Times New Roman" w:cs="Times New Roman"/>
                <w:b/>
                <w:color w:val="3C4043"/>
                <w:sz w:val="25"/>
                <w:szCs w:val="25"/>
              </w:rPr>
              <w:t>Women's Empowerment Index (WEI) - 2022:</w:t>
            </w:r>
            <w:r>
              <w:rPr>
                <w:rFonts w:ascii="Times New Roman" w:eastAsia="Times New Roman" w:hAnsi="Times New Roman" w:cs="Times New Roman"/>
                <w:color w:val="3C4043"/>
                <w:sz w:val="25"/>
                <w:szCs w:val="25"/>
              </w:rPr>
              <w:t xml:space="preserve"> Quantifies women's empowerment within each country for the year 2022, offering insights into gender dynamics and opportunities for women.</w:t>
            </w:r>
          </w:p>
          <w:p w14:paraId="59874983" w14:textId="77777777" w:rsidR="00236003" w:rsidRDefault="00000000">
            <w:pPr>
              <w:numPr>
                <w:ilvl w:val="0"/>
                <w:numId w:val="4"/>
              </w:numPr>
              <w:ind w:left="1" w:hanging="3"/>
              <w:rPr>
                <w:sz w:val="25"/>
                <w:szCs w:val="25"/>
              </w:rPr>
            </w:pPr>
            <w:r>
              <w:rPr>
                <w:rFonts w:ascii="Times New Roman" w:eastAsia="Times New Roman" w:hAnsi="Times New Roman" w:cs="Times New Roman"/>
                <w:b/>
                <w:color w:val="3C4043"/>
                <w:sz w:val="25"/>
                <w:szCs w:val="25"/>
              </w:rPr>
              <w:t>Women's Empowerment Group - 2022:</w:t>
            </w:r>
            <w:r>
              <w:rPr>
                <w:rFonts w:ascii="Times New Roman" w:eastAsia="Times New Roman" w:hAnsi="Times New Roman" w:cs="Times New Roman"/>
                <w:color w:val="3C4043"/>
                <w:sz w:val="25"/>
                <w:szCs w:val="25"/>
              </w:rPr>
              <w:t xml:space="preserve"> Categorizes countries based on their performance and status regarding women's empowerment, facilitating comparative analysis.</w:t>
            </w:r>
          </w:p>
          <w:p w14:paraId="361C1A35" w14:textId="77777777" w:rsidR="00236003" w:rsidRDefault="00000000">
            <w:pPr>
              <w:numPr>
                <w:ilvl w:val="0"/>
                <w:numId w:val="4"/>
              </w:numPr>
              <w:ind w:left="1" w:hanging="3"/>
              <w:rPr>
                <w:sz w:val="25"/>
                <w:szCs w:val="25"/>
              </w:rPr>
            </w:pPr>
            <w:r>
              <w:rPr>
                <w:rFonts w:ascii="Times New Roman" w:eastAsia="Times New Roman" w:hAnsi="Times New Roman" w:cs="Times New Roman"/>
                <w:b/>
                <w:color w:val="3C4043"/>
                <w:sz w:val="25"/>
                <w:szCs w:val="25"/>
              </w:rPr>
              <w:t>Global Gender Parity Index (GGPI) - 2022:</w:t>
            </w:r>
            <w:r>
              <w:rPr>
                <w:rFonts w:ascii="Times New Roman" w:eastAsia="Times New Roman" w:hAnsi="Times New Roman" w:cs="Times New Roman"/>
                <w:color w:val="3C4043"/>
                <w:sz w:val="25"/>
                <w:szCs w:val="25"/>
              </w:rPr>
              <w:t xml:space="preserve"> Measures gender parity at a global level for the year 2022, indicating the degree of equality between men and women.</w:t>
            </w:r>
          </w:p>
          <w:p w14:paraId="6F262124" w14:textId="77777777" w:rsidR="00236003" w:rsidRDefault="00000000">
            <w:pPr>
              <w:numPr>
                <w:ilvl w:val="0"/>
                <w:numId w:val="4"/>
              </w:numPr>
              <w:ind w:left="1" w:hanging="3"/>
              <w:rPr>
                <w:sz w:val="25"/>
                <w:szCs w:val="25"/>
              </w:rPr>
            </w:pPr>
            <w:r>
              <w:rPr>
                <w:rFonts w:ascii="Times New Roman" w:eastAsia="Times New Roman" w:hAnsi="Times New Roman" w:cs="Times New Roman"/>
                <w:b/>
                <w:color w:val="3C4043"/>
                <w:sz w:val="25"/>
                <w:szCs w:val="25"/>
              </w:rPr>
              <w:t>Gender Parity Group - 2022:</w:t>
            </w:r>
            <w:r>
              <w:rPr>
                <w:rFonts w:ascii="Times New Roman" w:eastAsia="Times New Roman" w:hAnsi="Times New Roman" w:cs="Times New Roman"/>
                <w:color w:val="3C4043"/>
                <w:sz w:val="25"/>
                <w:szCs w:val="25"/>
              </w:rPr>
              <w:t xml:space="preserve"> Classifies countries into groups based on their level of gender parity, aiding in the identification of trends and disparities.</w:t>
            </w:r>
          </w:p>
          <w:p w14:paraId="24D263A2" w14:textId="77777777" w:rsidR="00236003" w:rsidRDefault="00000000">
            <w:pPr>
              <w:numPr>
                <w:ilvl w:val="0"/>
                <w:numId w:val="4"/>
              </w:numPr>
              <w:ind w:left="1" w:hanging="3"/>
              <w:rPr>
                <w:sz w:val="25"/>
                <w:szCs w:val="25"/>
              </w:rPr>
            </w:pPr>
            <w:r>
              <w:rPr>
                <w:rFonts w:ascii="Times New Roman" w:eastAsia="Times New Roman" w:hAnsi="Times New Roman" w:cs="Times New Roman"/>
                <w:b/>
                <w:color w:val="3C4043"/>
                <w:sz w:val="25"/>
                <w:szCs w:val="25"/>
              </w:rPr>
              <w:t>Human Development Group - 2021:</w:t>
            </w:r>
            <w:r>
              <w:rPr>
                <w:rFonts w:ascii="Times New Roman" w:eastAsia="Times New Roman" w:hAnsi="Times New Roman" w:cs="Times New Roman"/>
                <w:color w:val="3C4043"/>
                <w:sz w:val="25"/>
                <w:szCs w:val="25"/>
              </w:rPr>
              <w:t xml:space="preserve"> Classifies countries into specific groups based on their Human Development Index (HDI) scores and development levels for the year 2021.</w:t>
            </w:r>
          </w:p>
          <w:p w14:paraId="3644F393" w14:textId="77777777" w:rsidR="00236003" w:rsidRDefault="00000000">
            <w:pPr>
              <w:numPr>
                <w:ilvl w:val="0"/>
                <w:numId w:val="4"/>
              </w:numPr>
              <w:spacing w:after="480"/>
              <w:ind w:left="1" w:hanging="3"/>
            </w:pPr>
            <w:r>
              <w:rPr>
                <w:rFonts w:ascii="Times New Roman" w:eastAsia="Times New Roman" w:hAnsi="Times New Roman" w:cs="Times New Roman"/>
                <w:b/>
                <w:color w:val="3C4043"/>
                <w:sz w:val="25"/>
                <w:szCs w:val="25"/>
              </w:rPr>
              <w:t>Sustainable Development Goal regions:</w:t>
            </w:r>
            <w:r>
              <w:rPr>
                <w:rFonts w:ascii="Times New Roman" w:eastAsia="Times New Roman" w:hAnsi="Times New Roman" w:cs="Times New Roman"/>
                <w:color w:val="3C4043"/>
                <w:sz w:val="25"/>
                <w:szCs w:val="25"/>
              </w:rPr>
              <w:t xml:space="preserve"> Aligns countries with specific regions as defined by the Sustainable Development Goals </w:t>
            </w:r>
            <w:r>
              <w:rPr>
                <w:rFonts w:ascii="Times New Roman" w:eastAsia="Times New Roman" w:hAnsi="Times New Roman" w:cs="Times New Roman"/>
                <w:color w:val="3C4043"/>
                <w:sz w:val="26"/>
                <w:szCs w:val="26"/>
              </w:rPr>
              <w:t>(SDGs), providing context for development efforts and initiatives.</w:t>
            </w:r>
          </w:p>
          <w:p w14:paraId="0E413150" w14:textId="77777777" w:rsidR="00236003" w:rsidRDefault="00236003">
            <w:pPr>
              <w:spacing w:before="480" w:after="480"/>
              <w:ind w:left="1" w:hanging="3"/>
              <w:rPr>
                <w:rFonts w:ascii="Times New Roman" w:eastAsia="Times New Roman" w:hAnsi="Times New Roman" w:cs="Times New Roman"/>
                <w:color w:val="3C4043"/>
                <w:sz w:val="26"/>
                <w:szCs w:val="26"/>
              </w:rPr>
            </w:pPr>
          </w:p>
          <w:p w14:paraId="760D748B" w14:textId="77777777" w:rsidR="00236003" w:rsidRDefault="00236003">
            <w:pPr>
              <w:spacing w:before="480" w:after="480"/>
              <w:ind w:left="1" w:hanging="3"/>
              <w:rPr>
                <w:rFonts w:ascii="Times New Roman" w:eastAsia="Times New Roman" w:hAnsi="Times New Roman" w:cs="Times New Roman"/>
                <w:color w:val="3C4043"/>
                <w:sz w:val="26"/>
                <w:szCs w:val="26"/>
              </w:rPr>
            </w:pPr>
          </w:p>
          <w:p w14:paraId="7D3CF852" w14:textId="77777777" w:rsidR="00236003" w:rsidRDefault="00000000">
            <w:pPr>
              <w:spacing w:before="480" w:after="480"/>
              <w:ind w:left="1" w:hanging="3"/>
              <w:rPr>
                <w:rFonts w:ascii="Times New Roman" w:eastAsia="Times New Roman" w:hAnsi="Times New Roman" w:cs="Times New Roman"/>
                <w:color w:val="3C4043"/>
                <w:sz w:val="26"/>
                <w:szCs w:val="26"/>
              </w:rPr>
            </w:pPr>
            <w:r>
              <w:rPr>
                <w:rFonts w:ascii="Times New Roman" w:eastAsia="Times New Roman" w:hAnsi="Times New Roman" w:cs="Times New Roman"/>
                <w:color w:val="3C4043"/>
                <w:sz w:val="26"/>
                <w:szCs w:val="26"/>
              </w:rPr>
              <w:t xml:space="preserve">Link: </w:t>
            </w:r>
            <w:hyperlink r:id="rId6">
              <w:r>
                <w:rPr>
                  <w:rFonts w:ascii="Times New Roman" w:eastAsia="Times New Roman" w:hAnsi="Times New Roman" w:cs="Times New Roman"/>
                  <w:color w:val="1155CC"/>
                  <w:sz w:val="26"/>
                  <w:szCs w:val="26"/>
                  <w:u w:val="single"/>
                </w:rPr>
                <w:t>https://www.kaggle.com/datasets/iamsouravbanerjee/women-empowerment-index/data</w:t>
              </w:r>
            </w:hyperlink>
          </w:p>
        </w:tc>
      </w:tr>
      <w:tr w:rsidR="00236003" w14:paraId="164511BD" w14:textId="77777777">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1382A6C8" w14:textId="77777777" w:rsidR="00236003" w:rsidRDefault="00236003">
            <w:pPr>
              <w:spacing w:line="240" w:lineRule="auto"/>
              <w:ind w:left="1" w:hanging="3"/>
              <w:jc w:val="center"/>
              <w:rPr>
                <w:rFonts w:ascii="Times New Roman" w:eastAsia="Times New Roman" w:hAnsi="Times New Roman" w:cs="Times New Roman"/>
                <w:sz w:val="26"/>
                <w:szCs w:val="26"/>
              </w:rPr>
            </w:pPr>
          </w:p>
        </w:tc>
      </w:tr>
      <w:tr w:rsidR="00236003" w14:paraId="41801DB1" w14:textId="77777777" w:rsidTr="002355AF">
        <w:trPr>
          <w:trHeight w:val="589"/>
        </w:trPr>
        <w:tc>
          <w:tcPr>
            <w:tcW w:w="1875" w:type="dxa"/>
            <w:tcBorders>
              <w:top w:val="single" w:sz="8" w:space="0" w:color="000001"/>
              <w:left w:val="single" w:sz="8" w:space="0" w:color="000001"/>
              <w:bottom w:val="single" w:sz="8" w:space="0" w:color="000001"/>
              <w:right w:val="single" w:sz="8" w:space="0" w:color="000001"/>
            </w:tcBorders>
            <w:tcMar>
              <w:left w:w="80" w:type="dxa"/>
            </w:tcMar>
          </w:tcPr>
          <w:p w14:paraId="72C63348" w14:textId="77777777" w:rsidR="00236003" w:rsidRDefault="00000000">
            <w:pPr>
              <w:spacing w:line="240" w:lineRule="auto"/>
              <w:ind w:left="1" w:hanging="3"/>
              <w:rPr>
                <w:rFonts w:ascii="Times New Roman" w:eastAsia="Times New Roman" w:hAnsi="Times New Roman" w:cs="Times New Roman"/>
                <w:b/>
                <w:sz w:val="26"/>
                <w:szCs w:val="26"/>
              </w:rPr>
            </w:pPr>
            <w:r>
              <w:rPr>
                <w:rFonts w:ascii="Times New Roman" w:eastAsia="Times New Roman" w:hAnsi="Times New Roman" w:cs="Times New Roman"/>
                <w:b/>
                <w:sz w:val="26"/>
                <w:szCs w:val="26"/>
              </w:rPr>
              <w:t>Charts/</w:t>
            </w:r>
          </w:p>
          <w:p w14:paraId="38AA5721" w14:textId="77777777" w:rsidR="00236003" w:rsidRDefault="00000000">
            <w:pPr>
              <w:spacing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b/>
                <w:sz w:val="26"/>
                <w:szCs w:val="26"/>
              </w:rPr>
              <w:t>Dashboard:</w:t>
            </w:r>
          </w:p>
        </w:tc>
        <w:tc>
          <w:tcPr>
            <w:tcW w:w="7920" w:type="dxa"/>
            <w:tcBorders>
              <w:top w:val="single" w:sz="8" w:space="0" w:color="000001"/>
              <w:left w:val="single" w:sz="8" w:space="0" w:color="000001"/>
              <w:bottom w:val="single" w:sz="8" w:space="0" w:color="000001"/>
              <w:right w:val="single" w:sz="8" w:space="0" w:color="000001"/>
            </w:tcBorders>
            <w:tcMar>
              <w:left w:w="80" w:type="dxa"/>
            </w:tcMar>
          </w:tcPr>
          <w:p w14:paraId="79DD5E22" w14:textId="4F5B8D23" w:rsidR="00236003" w:rsidRDefault="002355AF">
            <w:pPr>
              <w:spacing w:after="240"/>
              <w:ind w:left="1" w:hanging="3"/>
              <w:rPr>
                <w:rFonts w:ascii="Times New Roman" w:eastAsia="Times New Roman" w:hAnsi="Times New Roman" w:cs="Times New Roman"/>
                <w:sz w:val="26"/>
                <w:szCs w:val="26"/>
              </w:rPr>
            </w:pPr>
            <w:r w:rsidRPr="002355AF">
              <w:rPr>
                <w:rFonts w:ascii="Times New Roman" w:eastAsia="Times New Roman" w:hAnsi="Times New Roman" w:cs="Times New Roman"/>
                <w:sz w:val="26"/>
                <w:szCs w:val="26"/>
              </w:rPr>
              <w:drawing>
                <wp:inline distT="0" distB="0" distL="0" distR="0" wp14:anchorId="0642595A" wp14:editId="3A6A78CF">
                  <wp:extent cx="4914900" cy="2736850"/>
                  <wp:effectExtent l="0" t="0" r="0" b="6350"/>
                  <wp:docPr id="1098132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32174" name=""/>
                          <pic:cNvPicPr/>
                        </pic:nvPicPr>
                        <pic:blipFill>
                          <a:blip r:embed="rId7"/>
                          <a:stretch>
                            <a:fillRect/>
                          </a:stretch>
                        </pic:blipFill>
                        <pic:spPr>
                          <a:xfrm>
                            <a:off x="0" y="0"/>
                            <a:ext cx="4914900" cy="2736850"/>
                          </a:xfrm>
                          <a:prstGeom prst="rect">
                            <a:avLst/>
                          </a:prstGeom>
                        </pic:spPr>
                      </pic:pic>
                    </a:graphicData>
                  </a:graphic>
                </wp:inline>
              </w:drawing>
            </w:r>
          </w:p>
          <w:p w14:paraId="048FBE3E" w14:textId="77777777" w:rsidR="002355AF" w:rsidRPr="002355AF" w:rsidRDefault="002355AF" w:rsidP="002355AF">
            <w:pPr>
              <w:spacing w:after="240"/>
              <w:ind w:leftChars="0" w:left="1" w:firstLineChars="0" w:firstLine="0"/>
              <w:rPr>
                <w:rFonts w:ascii="Times New Roman" w:eastAsia="Times New Roman" w:hAnsi="Times New Roman" w:cs="Times New Roman"/>
                <w:sz w:val="26"/>
                <w:szCs w:val="26"/>
                <w:lang w:val="en-IN"/>
              </w:rPr>
            </w:pPr>
            <w:proofErr w:type="gramStart"/>
            <w:r w:rsidRPr="002355AF">
              <w:rPr>
                <w:rFonts w:ascii="Times New Roman" w:eastAsia="Times New Roman" w:hAnsi="Times New Roman" w:cs="Times New Roman"/>
                <w:sz w:val="26"/>
                <w:szCs w:val="26"/>
                <w:lang w:val="en-IN"/>
              </w:rPr>
              <w:t xml:space="preserve">  </w:t>
            </w:r>
            <w:r w:rsidRPr="002355AF">
              <w:rPr>
                <w:rFonts w:ascii="Times New Roman" w:eastAsia="Times New Roman" w:hAnsi="Times New Roman" w:cs="Times New Roman"/>
                <w:b/>
                <w:bCs/>
                <w:sz w:val="26"/>
                <w:szCs w:val="26"/>
                <w:lang w:val="en-IN"/>
              </w:rPr>
              <w:t>Map</w:t>
            </w:r>
            <w:proofErr w:type="gramEnd"/>
            <w:r w:rsidRPr="002355AF">
              <w:rPr>
                <w:rFonts w:ascii="Times New Roman" w:eastAsia="Times New Roman" w:hAnsi="Times New Roman" w:cs="Times New Roman"/>
                <w:b/>
                <w:bCs/>
                <w:sz w:val="26"/>
                <w:szCs w:val="26"/>
                <w:lang w:val="en-IN"/>
              </w:rPr>
              <w:t xml:space="preserve"> - "Established Women’s Empowerment Countries"</w:t>
            </w:r>
            <w:r w:rsidRPr="002355AF">
              <w:rPr>
                <w:rFonts w:ascii="Times New Roman" w:eastAsia="Times New Roman" w:hAnsi="Times New Roman" w:cs="Times New Roman"/>
                <w:sz w:val="26"/>
                <w:szCs w:val="26"/>
                <w:lang w:val="en-IN"/>
              </w:rPr>
              <w:t>:</w:t>
            </w:r>
          </w:p>
          <w:p w14:paraId="1981F35E" w14:textId="77777777" w:rsidR="002355AF" w:rsidRPr="002355AF" w:rsidRDefault="002355AF" w:rsidP="002355AF">
            <w:pPr>
              <w:numPr>
                <w:ilvl w:val="0"/>
                <w:numId w:val="7"/>
              </w:numPr>
              <w:spacing w:after="240"/>
              <w:ind w:leftChars="0" w:firstLineChars="0"/>
              <w:rPr>
                <w:rFonts w:ascii="Times New Roman" w:eastAsia="Times New Roman" w:hAnsi="Times New Roman" w:cs="Times New Roman"/>
                <w:sz w:val="26"/>
                <w:szCs w:val="26"/>
                <w:lang w:val="en-IN"/>
              </w:rPr>
            </w:pPr>
            <w:r w:rsidRPr="002355AF">
              <w:rPr>
                <w:rFonts w:ascii="Times New Roman" w:eastAsia="Times New Roman" w:hAnsi="Times New Roman" w:cs="Times New Roman"/>
                <w:sz w:val="26"/>
                <w:szCs w:val="26"/>
                <w:lang w:val="en-IN"/>
              </w:rPr>
              <w:t>This map uses markers to show countries that have established or high levels of women's empowerment. Each blue dot represents a country with data on women’s empowerment status, likely based on certain metrics or indexes.</w:t>
            </w:r>
          </w:p>
          <w:p w14:paraId="29622262" w14:textId="77777777" w:rsidR="002355AF" w:rsidRPr="002355AF" w:rsidRDefault="002355AF" w:rsidP="002355AF">
            <w:pPr>
              <w:spacing w:after="240"/>
              <w:ind w:leftChars="0" w:left="1" w:firstLineChars="0" w:firstLine="0"/>
              <w:rPr>
                <w:rFonts w:ascii="Times New Roman" w:eastAsia="Times New Roman" w:hAnsi="Times New Roman" w:cs="Times New Roman"/>
                <w:sz w:val="26"/>
                <w:szCs w:val="26"/>
                <w:lang w:val="en-IN"/>
              </w:rPr>
            </w:pPr>
            <w:proofErr w:type="gramStart"/>
            <w:r w:rsidRPr="002355AF">
              <w:rPr>
                <w:rFonts w:ascii="Times New Roman" w:eastAsia="Times New Roman" w:hAnsi="Times New Roman" w:cs="Times New Roman"/>
                <w:sz w:val="26"/>
                <w:szCs w:val="26"/>
                <w:lang w:val="en-IN"/>
              </w:rPr>
              <w:t xml:space="preserve">  </w:t>
            </w:r>
            <w:r w:rsidRPr="002355AF">
              <w:rPr>
                <w:rFonts w:ascii="Times New Roman" w:eastAsia="Times New Roman" w:hAnsi="Times New Roman" w:cs="Times New Roman"/>
                <w:b/>
                <w:bCs/>
                <w:sz w:val="26"/>
                <w:szCs w:val="26"/>
                <w:lang w:val="en-IN"/>
              </w:rPr>
              <w:t>Bar</w:t>
            </w:r>
            <w:proofErr w:type="gramEnd"/>
            <w:r w:rsidRPr="002355AF">
              <w:rPr>
                <w:rFonts w:ascii="Times New Roman" w:eastAsia="Times New Roman" w:hAnsi="Times New Roman" w:cs="Times New Roman"/>
                <w:b/>
                <w:bCs/>
                <w:sz w:val="26"/>
                <w:szCs w:val="26"/>
                <w:lang w:val="en-IN"/>
              </w:rPr>
              <w:t xml:space="preserve"> Chart - "Ratio between Global Gender Parity Index and Sustainable Development Regions"</w:t>
            </w:r>
            <w:r w:rsidRPr="002355AF">
              <w:rPr>
                <w:rFonts w:ascii="Times New Roman" w:eastAsia="Times New Roman" w:hAnsi="Times New Roman" w:cs="Times New Roman"/>
                <w:sz w:val="26"/>
                <w:szCs w:val="26"/>
                <w:lang w:val="en-IN"/>
              </w:rPr>
              <w:t>:</w:t>
            </w:r>
          </w:p>
          <w:p w14:paraId="34CDDD26" w14:textId="77777777" w:rsidR="002355AF" w:rsidRPr="002355AF" w:rsidRDefault="002355AF" w:rsidP="002355AF">
            <w:pPr>
              <w:numPr>
                <w:ilvl w:val="0"/>
                <w:numId w:val="8"/>
              </w:numPr>
              <w:spacing w:after="240"/>
              <w:ind w:leftChars="0" w:firstLineChars="0"/>
              <w:rPr>
                <w:rFonts w:ascii="Times New Roman" w:eastAsia="Times New Roman" w:hAnsi="Times New Roman" w:cs="Times New Roman"/>
                <w:sz w:val="26"/>
                <w:szCs w:val="26"/>
                <w:lang w:val="en-IN"/>
              </w:rPr>
            </w:pPr>
            <w:r w:rsidRPr="002355AF">
              <w:rPr>
                <w:rFonts w:ascii="Times New Roman" w:eastAsia="Times New Roman" w:hAnsi="Times New Roman" w:cs="Times New Roman"/>
                <w:sz w:val="26"/>
                <w:szCs w:val="26"/>
                <w:lang w:val="en-IN"/>
              </w:rPr>
              <w:t>This bar chart displays the Global Gender Parity Index (GGPI) across different Sustainable Development Goal (SDG) regions. Europe and North America have the highest GGPI score, followed by Sub-Saharan Africa and Latin America, while regions like Australia &amp; New Zealand and Central Asia have lower scores.</w:t>
            </w:r>
          </w:p>
          <w:p w14:paraId="58A9C296" w14:textId="77777777" w:rsidR="002355AF" w:rsidRPr="002355AF" w:rsidRDefault="002355AF" w:rsidP="002355AF">
            <w:pPr>
              <w:numPr>
                <w:ilvl w:val="0"/>
                <w:numId w:val="8"/>
              </w:numPr>
              <w:spacing w:after="240"/>
              <w:ind w:leftChars="0" w:firstLineChars="0"/>
              <w:rPr>
                <w:rFonts w:ascii="Times New Roman" w:eastAsia="Times New Roman" w:hAnsi="Times New Roman" w:cs="Times New Roman"/>
                <w:sz w:val="26"/>
                <w:szCs w:val="26"/>
                <w:lang w:val="en-IN"/>
              </w:rPr>
            </w:pPr>
            <w:r w:rsidRPr="002355AF">
              <w:rPr>
                <w:rFonts w:ascii="Times New Roman" w:eastAsia="Times New Roman" w:hAnsi="Times New Roman" w:cs="Times New Roman"/>
                <w:sz w:val="26"/>
                <w:szCs w:val="26"/>
                <w:lang w:val="en-IN"/>
              </w:rPr>
              <w:lastRenderedPageBreak/>
              <w:t>This chart likely illustrates how different regions perform regarding gender parity, with higher bars indicating regions with better gender parity outcomes.</w:t>
            </w:r>
          </w:p>
          <w:p w14:paraId="039ACEC9" w14:textId="77777777" w:rsidR="002355AF" w:rsidRPr="002355AF" w:rsidRDefault="002355AF" w:rsidP="002355AF">
            <w:pPr>
              <w:spacing w:after="240"/>
              <w:ind w:leftChars="0" w:left="1" w:firstLineChars="0" w:firstLine="0"/>
              <w:rPr>
                <w:rFonts w:ascii="Times New Roman" w:eastAsia="Times New Roman" w:hAnsi="Times New Roman" w:cs="Times New Roman"/>
                <w:sz w:val="26"/>
                <w:szCs w:val="26"/>
                <w:lang w:val="en-IN"/>
              </w:rPr>
            </w:pPr>
            <w:proofErr w:type="gramStart"/>
            <w:r w:rsidRPr="002355AF">
              <w:rPr>
                <w:rFonts w:ascii="Times New Roman" w:eastAsia="Times New Roman" w:hAnsi="Times New Roman" w:cs="Times New Roman"/>
                <w:sz w:val="26"/>
                <w:szCs w:val="26"/>
                <w:lang w:val="en-IN"/>
              </w:rPr>
              <w:t xml:space="preserve">  </w:t>
            </w:r>
            <w:r w:rsidRPr="002355AF">
              <w:rPr>
                <w:rFonts w:ascii="Times New Roman" w:eastAsia="Times New Roman" w:hAnsi="Times New Roman" w:cs="Times New Roman"/>
                <w:b/>
                <w:bCs/>
                <w:sz w:val="26"/>
                <w:szCs w:val="26"/>
                <w:lang w:val="en-IN"/>
              </w:rPr>
              <w:t>Scatter</w:t>
            </w:r>
            <w:proofErr w:type="gramEnd"/>
            <w:r w:rsidRPr="002355AF">
              <w:rPr>
                <w:rFonts w:ascii="Times New Roman" w:eastAsia="Times New Roman" w:hAnsi="Times New Roman" w:cs="Times New Roman"/>
                <w:b/>
                <w:bCs/>
                <w:sz w:val="26"/>
                <w:szCs w:val="26"/>
                <w:lang w:val="en-IN"/>
              </w:rPr>
              <w:t xml:space="preserve"> Plot - "WEI vs Global Gender Parity Index"</w:t>
            </w:r>
            <w:r w:rsidRPr="002355AF">
              <w:rPr>
                <w:rFonts w:ascii="Times New Roman" w:eastAsia="Times New Roman" w:hAnsi="Times New Roman" w:cs="Times New Roman"/>
                <w:sz w:val="26"/>
                <w:szCs w:val="26"/>
                <w:lang w:val="en-IN"/>
              </w:rPr>
              <w:t>:</w:t>
            </w:r>
          </w:p>
          <w:p w14:paraId="64FBA3C6" w14:textId="77777777" w:rsidR="002355AF" w:rsidRPr="002355AF" w:rsidRDefault="002355AF" w:rsidP="002355AF">
            <w:pPr>
              <w:numPr>
                <w:ilvl w:val="0"/>
                <w:numId w:val="9"/>
              </w:numPr>
              <w:spacing w:after="240"/>
              <w:ind w:leftChars="0" w:firstLineChars="0"/>
              <w:rPr>
                <w:rFonts w:ascii="Times New Roman" w:eastAsia="Times New Roman" w:hAnsi="Times New Roman" w:cs="Times New Roman"/>
                <w:sz w:val="26"/>
                <w:szCs w:val="26"/>
                <w:lang w:val="en-IN"/>
              </w:rPr>
            </w:pPr>
            <w:r w:rsidRPr="002355AF">
              <w:rPr>
                <w:rFonts w:ascii="Times New Roman" w:eastAsia="Times New Roman" w:hAnsi="Times New Roman" w:cs="Times New Roman"/>
                <w:sz w:val="26"/>
                <w:szCs w:val="26"/>
                <w:lang w:val="en-IN"/>
              </w:rPr>
              <w:t>This scatter plot shows the relationship between the Women’s Empowerment Index (WEI) and the Global Gender Parity Index (GGPI) for different countries.</w:t>
            </w:r>
          </w:p>
          <w:p w14:paraId="24C6C9F5" w14:textId="77777777" w:rsidR="002355AF" w:rsidRPr="002355AF" w:rsidRDefault="002355AF" w:rsidP="002355AF">
            <w:pPr>
              <w:numPr>
                <w:ilvl w:val="0"/>
                <w:numId w:val="9"/>
              </w:numPr>
              <w:spacing w:after="240"/>
              <w:ind w:leftChars="0" w:firstLineChars="0"/>
              <w:rPr>
                <w:rFonts w:ascii="Times New Roman" w:eastAsia="Times New Roman" w:hAnsi="Times New Roman" w:cs="Times New Roman"/>
                <w:sz w:val="26"/>
                <w:szCs w:val="26"/>
                <w:lang w:val="en-IN"/>
              </w:rPr>
            </w:pPr>
            <w:r w:rsidRPr="002355AF">
              <w:rPr>
                <w:rFonts w:ascii="Times New Roman" w:eastAsia="Times New Roman" w:hAnsi="Times New Roman" w:cs="Times New Roman"/>
                <w:sz w:val="26"/>
                <w:szCs w:val="26"/>
                <w:lang w:val="en-IN"/>
              </w:rPr>
              <w:t>There is a positive correlation, as indicated by the upward trend, suggesting that countries with higher WEI scores also tend to have higher GGPI scores, linking empowerment and parity.</w:t>
            </w:r>
          </w:p>
          <w:p w14:paraId="793E8C79" w14:textId="77777777" w:rsidR="002355AF" w:rsidRPr="002355AF" w:rsidRDefault="002355AF" w:rsidP="002355AF">
            <w:pPr>
              <w:spacing w:after="240"/>
              <w:ind w:leftChars="0" w:left="1" w:firstLineChars="0" w:firstLine="0"/>
              <w:rPr>
                <w:rFonts w:ascii="Times New Roman" w:eastAsia="Times New Roman" w:hAnsi="Times New Roman" w:cs="Times New Roman"/>
                <w:sz w:val="26"/>
                <w:szCs w:val="26"/>
                <w:lang w:val="en-IN"/>
              </w:rPr>
            </w:pPr>
            <w:proofErr w:type="gramStart"/>
            <w:r w:rsidRPr="002355AF">
              <w:rPr>
                <w:rFonts w:ascii="Times New Roman" w:eastAsia="Times New Roman" w:hAnsi="Times New Roman" w:cs="Times New Roman"/>
                <w:sz w:val="26"/>
                <w:szCs w:val="26"/>
                <w:lang w:val="en-IN"/>
              </w:rPr>
              <w:t xml:space="preserve">  </w:t>
            </w:r>
            <w:r w:rsidRPr="002355AF">
              <w:rPr>
                <w:rFonts w:ascii="Times New Roman" w:eastAsia="Times New Roman" w:hAnsi="Times New Roman" w:cs="Times New Roman"/>
                <w:b/>
                <w:bCs/>
                <w:sz w:val="26"/>
                <w:szCs w:val="26"/>
                <w:lang w:val="en-IN"/>
              </w:rPr>
              <w:t>Pie</w:t>
            </w:r>
            <w:proofErr w:type="gramEnd"/>
            <w:r w:rsidRPr="002355AF">
              <w:rPr>
                <w:rFonts w:ascii="Times New Roman" w:eastAsia="Times New Roman" w:hAnsi="Times New Roman" w:cs="Times New Roman"/>
                <w:b/>
                <w:bCs/>
                <w:sz w:val="26"/>
                <w:szCs w:val="26"/>
                <w:lang w:val="en-IN"/>
              </w:rPr>
              <w:t xml:space="preserve"> Chart - "Proportion of Women’s Empowerment"</w:t>
            </w:r>
            <w:r w:rsidRPr="002355AF">
              <w:rPr>
                <w:rFonts w:ascii="Times New Roman" w:eastAsia="Times New Roman" w:hAnsi="Times New Roman" w:cs="Times New Roman"/>
                <w:sz w:val="26"/>
                <w:szCs w:val="26"/>
                <w:lang w:val="en-IN"/>
              </w:rPr>
              <w:t>:</w:t>
            </w:r>
          </w:p>
          <w:p w14:paraId="6FA0014E" w14:textId="77777777" w:rsidR="002355AF" w:rsidRPr="002355AF" w:rsidRDefault="002355AF" w:rsidP="002355AF">
            <w:pPr>
              <w:numPr>
                <w:ilvl w:val="0"/>
                <w:numId w:val="10"/>
              </w:numPr>
              <w:spacing w:after="240"/>
              <w:ind w:leftChars="0" w:firstLineChars="0"/>
              <w:rPr>
                <w:rFonts w:ascii="Times New Roman" w:eastAsia="Times New Roman" w:hAnsi="Times New Roman" w:cs="Times New Roman"/>
                <w:sz w:val="26"/>
                <w:szCs w:val="26"/>
                <w:lang w:val="en-IN"/>
              </w:rPr>
            </w:pPr>
            <w:r w:rsidRPr="002355AF">
              <w:rPr>
                <w:rFonts w:ascii="Times New Roman" w:eastAsia="Times New Roman" w:hAnsi="Times New Roman" w:cs="Times New Roman"/>
                <w:sz w:val="26"/>
                <w:szCs w:val="26"/>
                <w:lang w:val="en-IN"/>
              </w:rPr>
              <w:t>This pie chart provides a breakdown of women’s empowerment by different categories or groups, possibly indicating the proportion of countries that fall into various levels of empowerment.</w:t>
            </w:r>
          </w:p>
          <w:p w14:paraId="685EF735" w14:textId="77777777" w:rsidR="002355AF" w:rsidRPr="002355AF" w:rsidRDefault="002355AF" w:rsidP="002355AF">
            <w:pPr>
              <w:numPr>
                <w:ilvl w:val="0"/>
                <w:numId w:val="10"/>
              </w:numPr>
              <w:spacing w:after="240"/>
              <w:ind w:leftChars="0" w:firstLineChars="0"/>
              <w:rPr>
                <w:rFonts w:ascii="Times New Roman" w:eastAsia="Times New Roman" w:hAnsi="Times New Roman" w:cs="Times New Roman"/>
                <w:sz w:val="26"/>
                <w:szCs w:val="26"/>
                <w:lang w:val="en-IN"/>
              </w:rPr>
            </w:pPr>
            <w:r w:rsidRPr="002355AF">
              <w:rPr>
                <w:rFonts w:ascii="Times New Roman" w:eastAsia="Times New Roman" w:hAnsi="Times New Roman" w:cs="Times New Roman"/>
                <w:sz w:val="26"/>
                <w:szCs w:val="26"/>
                <w:lang w:val="en-IN"/>
              </w:rPr>
              <w:t xml:space="preserve">The </w:t>
            </w:r>
            <w:proofErr w:type="spellStart"/>
            <w:r w:rsidRPr="002355AF">
              <w:rPr>
                <w:rFonts w:ascii="Times New Roman" w:eastAsia="Times New Roman" w:hAnsi="Times New Roman" w:cs="Times New Roman"/>
                <w:sz w:val="26"/>
                <w:szCs w:val="26"/>
                <w:lang w:val="en-IN"/>
              </w:rPr>
              <w:t>colors</w:t>
            </w:r>
            <w:proofErr w:type="spellEnd"/>
            <w:r w:rsidRPr="002355AF">
              <w:rPr>
                <w:rFonts w:ascii="Times New Roman" w:eastAsia="Times New Roman" w:hAnsi="Times New Roman" w:cs="Times New Roman"/>
                <w:sz w:val="26"/>
                <w:szCs w:val="26"/>
                <w:lang w:val="en-IN"/>
              </w:rPr>
              <w:t xml:space="preserve"> correspond to different groups, though further details aren’t provided in this chart alone.</w:t>
            </w:r>
          </w:p>
          <w:p w14:paraId="1E3E9F6C" w14:textId="77777777" w:rsidR="002355AF" w:rsidRPr="002355AF" w:rsidRDefault="002355AF" w:rsidP="002355AF">
            <w:pPr>
              <w:spacing w:after="240"/>
              <w:ind w:leftChars="0" w:left="1" w:firstLineChars="0" w:firstLine="0"/>
              <w:rPr>
                <w:rFonts w:ascii="Times New Roman" w:eastAsia="Times New Roman" w:hAnsi="Times New Roman" w:cs="Times New Roman"/>
                <w:sz w:val="26"/>
                <w:szCs w:val="26"/>
                <w:lang w:val="en-IN"/>
              </w:rPr>
            </w:pPr>
            <w:proofErr w:type="gramStart"/>
            <w:r w:rsidRPr="002355AF">
              <w:rPr>
                <w:rFonts w:ascii="Times New Roman" w:eastAsia="Times New Roman" w:hAnsi="Times New Roman" w:cs="Times New Roman"/>
                <w:sz w:val="26"/>
                <w:szCs w:val="26"/>
                <w:lang w:val="en-IN"/>
              </w:rPr>
              <w:t xml:space="preserve">  </w:t>
            </w:r>
            <w:r w:rsidRPr="002355AF">
              <w:rPr>
                <w:rFonts w:ascii="Times New Roman" w:eastAsia="Times New Roman" w:hAnsi="Times New Roman" w:cs="Times New Roman"/>
                <w:b/>
                <w:bCs/>
                <w:sz w:val="26"/>
                <w:szCs w:val="26"/>
                <w:lang w:val="en-IN"/>
              </w:rPr>
              <w:t>Tree</w:t>
            </w:r>
            <w:proofErr w:type="gramEnd"/>
            <w:r w:rsidRPr="002355AF">
              <w:rPr>
                <w:rFonts w:ascii="Times New Roman" w:eastAsia="Times New Roman" w:hAnsi="Times New Roman" w:cs="Times New Roman"/>
                <w:b/>
                <w:bCs/>
                <w:sz w:val="26"/>
                <w:szCs w:val="26"/>
                <w:lang w:val="en-IN"/>
              </w:rPr>
              <w:t xml:space="preserve"> Map - "Top 10 Countries with Highest WEI"</w:t>
            </w:r>
            <w:r w:rsidRPr="002355AF">
              <w:rPr>
                <w:rFonts w:ascii="Times New Roman" w:eastAsia="Times New Roman" w:hAnsi="Times New Roman" w:cs="Times New Roman"/>
                <w:sz w:val="26"/>
                <w:szCs w:val="26"/>
                <w:lang w:val="en-IN"/>
              </w:rPr>
              <w:t>:</w:t>
            </w:r>
          </w:p>
          <w:p w14:paraId="6376ACAD" w14:textId="77777777" w:rsidR="002355AF" w:rsidRPr="002355AF" w:rsidRDefault="002355AF" w:rsidP="002355AF">
            <w:pPr>
              <w:numPr>
                <w:ilvl w:val="0"/>
                <w:numId w:val="11"/>
              </w:numPr>
              <w:spacing w:after="240"/>
              <w:ind w:leftChars="0" w:firstLineChars="0"/>
              <w:rPr>
                <w:rFonts w:ascii="Times New Roman" w:eastAsia="Times New Roman" w:hAnsi="Times New Roman" w:cs="Times New Roman"/>
                <w:sz w:val="26"/>
                <w:szCs w:val="26"/>
                <w:lang w:val="en-IN"/>
              </w:rPr>
            </w:pPr>
            <w:r w:rsidRPr="002355AF">
              <w:rPr>
                <w:rFonts w:ascii="Times New Roman" w:eastAsia="Times New Roman" w:hAnsi="Times New Roman" w:cs="Times New Roman"/>
                <w:sz w:val="26"/>
                <w:szCs w:val="26"/>
                <w:lang w:val="en-IN"/>
              </w:rPr>
              <w:t>This tree map highlights the top 10 countries with the highest Women’s Empowerment Index (WEI) scores.</w:t>
            </w:r>
          </w:p>
          <w:p w14:paraId="5ACB5CC3" w14:textId="77777777" w:rsidR="002355AF" w:rsidRPr="002355AF" w:rsidRDefault="002355AF" w:rsidP="002355AF">
            <w:pPr>
              <w:numPr>
                <w:ilvl w:val="0"/>
                <w:numId w:val="11"/>
              </w:numPr>
              <w:spacing w:after="240"/>
              <w:ind w:leftChars="0" w:firstLineChars="0"/>
              <w:rPr>
                <w:rFonts w:ascii="Times New Roman" w:eastAsia="Times New Roman" w:hAnsi="Times New Roman" w:cs="Times New Roman"/>
                <w:sz w:val="26"/>
                <w:szCs w:val="26"/>
                <w:lang w:val="en-IN"/>
              </w:rPr>
            </w:pPr>
            <w:r w:rsidRPr="002355AF">
              <w:rPr>
                <w:rFonts w:ascii="Times New Roman" w:eastAsia="Times New Roman" w:hAnsi="Times New Roman" w:cs="Times New Roman"/>
                <w:sz w:val="26"/>
                <w:szCs w:val="26"/>
                <w:lang w:val="en-IN"/>
              </w:rPr>
              <w:t>Countries such as Sweden, Norway, Iceland, and Belgium are among the highest ranked, with larger and darker-</w:t>
            </w:r>
            <w:proofErr w:type="spellStart"/>
            <w:r w:rsidRPr="002355AF">
              <w:rPr>
                <w:rFonts w:ascii="Times New Roman" w:eastAsia="Times New Roman" w:hAnsi="Times New Roman" w:cs="Times New Roman"/>
                <w:sz w:val="26"/>
                <w:szCs w:val="26"/>
                <w:lang w:val="en-IN"/>
              </w:rPr>
              <w:t>colored</w:t>
            </w:r>
            <w:proofErr w:type="spellEnd"/>
            <w:r w:rsidRPr="002355AF">
              <w:rPr>
                <w:rFonts w:ascii="Times New Roman" w:eastAsia="Times New Roman" w:hAnsi="Times New Roman" w:cs="Times New Roman"/>
                <w:sz w:val="26"/>
                <w:szCs w:val="26"/>
                <w:lang w:val="en-IN"/>
              </w:rPr>
              <w:t xml:space="preserve"> boxes likely representing higher WEI scores.</w:t>
            </w:r>
          </w:p>
          <w:p w14:paraId="46B27E9B" w14:textId="77777777" w:rsidR="002355AF" w:rsidRPr="002355AF" w:rsidRDefault="002355AF" w:rsidP="002355AF">
            <w:pPr>
              <w:spacing w:after="240"/>
              <w:ind w:leftChars="0" w:left="1" w:firstLineChars="0" w:firstLine="0"/>
              <w:rPr>
                <w:rFonts w:ascii="Times New Roman" w:eastAsia="Times New Roman" w:hAnsi="Times New Roman" w:cs="Times New Roman"/>
                <w:sz w:val="26"/>
                <w:szCs w:val="26"/>
                <w:lang w:val="en-IN"/>
              </w:rPr>
            </w:pPr>
            <w:proofErr w:type="gramStart"/>
            <w:r w:rsidRPr="002355AF">
              <w:rPr>
                <w:rFonts w:ascii="Times New Roman" w:eastAsia="Times New Roman" w:hAnsi="Times New Roman" w:cs="Times New Roman"/>
                <w:sz w:val="26"/>
                <w:szCs w:val="26"/>
                <w:lang w:val="en-IN"/>
              </w:rPr>
              <w:t xml:space="preserve">  </w:t>
            </w:r>
            <w:r w:rsidRPr="002355AF">
              <w:rPr>
                <w:rFonts w:ascii="Times New Roman" w:eastAsia="Times New Roman" w:hAnsi="Times New Roman" w:cs="Times New Roman"/>
                <w:b/>
                <w:bCs/>
                <w:sz w:val="26"/>
                <w:szCs w:val="26"/>
                <w:lang w:val="en-IN"/>
              </w:rPr>
              <w:t>Legend</w:t>
            </w:r>
            <w:proofErr w:type="gramEnd"/>
            <w:r w:rsidRPr="002355AF">
              <w:rPr>
                <w:rFonts w:ascii="Times New Roman" w:eastAsia="Times New Roman" w:hAnsi="Times New Roman" w:cs="Times New Roman"/>
                <w:b/>
                <w:bCs/>
                <w:sz w:val="26"/>
                <w:szCs w:val="26"/>
                <w:lang w:val="en-IN"/>
              </w:rPr>
              <w:t xml:space="preserve"> - "Gender Parity Group - 2022"</w:t>
            </w:r>
            <w:r w:rsidRPr="002355AF">
              <w:rPr>
                <w:rFonts w:ascii="Times New Roman" w:eastAsia="Times New Roman" w:hAnsi="Times New Roman" w:cs="Times New Roman"/>
                <w:sz w:val="26"/>
                <w:szCs w:val="26"/>
                <w:lang w:val="en-IN"/>
              </w:rPr>
              <w:t>:</w:t>
            </w:r>
          </w:p>
          <w:p w14:paraId="48AFCB03" w14:textId="77777777" w:rsidR="002355AF" w:rsidRPr="002355AF" w:rsidRDefault="002355AF" w:rsidP="002355AF">
            <w:pPr>
              <w:numPr>
                <w:ilvl w:val="0"/>
                <w:numId w:val="12"/>
              </w:numPr>
              <w:spacing w:after="240"/>
              <w:ind w:leftChars="0" w:firstLineChars="0"/>
              <w:rPr>
                <w:rFonts w:ascii="Times New Roman" w:eastAsia="Times New Roman" w:hAnsi="Times New Roman" w:cs="Times New Roman"/>
                <w:sz w:val="26"/>
                <w:szCs w:val="26"/>
                <w:lang w:val="en-IN"/>
              </w:rPr>
            </w:pPr>
            <w:r w:rsidRPr="002355AF">
              <w:rPr>
                <w:rFonts w:ascii="Times New Roman" w:eastAsia="Times New Roman" w:hAnsi="Times New Roman" w:cs="Times New Roman"/>
                <w:sz w:val="26"/>
                <w:szCs w:val="26"/>
                <w:lang w:val="en-IN"/>
              </w:rPr>
              <w:t>The legend explains the color-coding used for gender parity groups, which range from high (dark blue) to low (orange), with intermediate categories (lower-middle and upper-middle) represented by different shades.</w:t>
            </w:r>
          </w:p>
          <w:p w14:paraId="3AB15E6C" w14:textId="5800B451" w:rsidR="00236003" w:rsidRPr="002355AF" w:rsidRDefault="002355AF" w:rsidP="002355AF">
            <w:pPr>
              <w:numPr>
                <w:ilvl w:val="0"/>
                <w:numId w:val="12"/>
              </w:numPr>
              <w:spacing w:after="240"/>
              <w:ind w:leftChars="0" w:firstLineChars="0"/>
              <w:rPr>
                <w:rFonts w:ascii="Times New Roman" w:eastAsia="Times New Roman" w:hAnsi="Times New Roman" w:cs="Times New Roman"/>
                <w:sz w:val="26"/>
                <w:szCs w:val="26"/>
                <w:lang w:val="en-IN"/>
              </w:rPr>
            </w:pPr>
            <w:r w:rsidRPr="002355AF">
              <w:rPr>
                <w:rFonts w:ascii="Times New Roman" w:eastAsia="Times New Roman" w:hAnsi="Times New Roman" w:cs="Times New Roman"/>
                <w:sz w:val="26"/>
                <w:szCs w:val="26"/>
                <w:lang w:val="en-IN"/>
              </w:rPr>
              <w:t xml:space="preserve">This legend probably applies to multiple charts in the dashboard, </w:t>
            </w:r>
            <w:r w:rsidRPr="002355AF">
              <w:rPr>
                <w:rFonts w:ascii="Times New Roman" w:eastAsia="Times New Roman" w:hAnsi="Times New Roman" w:cs="Times New Roman"/>
                <w:sz w:val="26"/>
                <w:szCs w:val="26"/>
                <w:lang w:val="en-IN"/>
              </w:rPr>
              <w:lastRenderedPageBreak/>
              <w:t>helping users understand the categorization of countries based on gender parity levels.</w:t>
            </w:r>
          </w:p>
        </w:tc>
      </w:tr>
      <w:tr w:rsidR="00236003" w14:paraId="75F55000" w14:textId="77777777">
        <w:trPr>
          <w:trHeight w:val="572"/>
        </w:trPr>
        <w:tc>
          <w:tcPr>
            <w:tcW w:w="1875" w:type="dxa"/>
            <w:tcBorders>
              <w:top w:val="single" w:sz="8" w:space="0" w:color="000001"/>
              <w:left w:val="single" w:sz="8" w:space="0" w:color="000001"/>
              <w:bottom w:val="single" w:sz="8" w:space="0" w:color="000001"/>
              <w:right w:val="single" w:sz="8" w:space="0" w:color="000001"/>
            </w:tcBorders>
            <w:tcMar>
              <w:left w:w="80" w:type="dxa"/>
            </w:tcMar>
          </w:tcPr>
          <w:p w14:paraId="6AFFDB93" w14:textId="77777777" w:rsidR="00236003" w:rsidRDefault="00000000">
            <w:pPr>
              <w:spacing w:line="240" w:lineRule="auto"/>
              <w:ind w:left="0" w:hanging="2"/>
            </w:pPr>
            <w:r>
              <w:rPr>
                <w:rFonts w:ascii="Times New Roman" w:eastAsia="Times New Roman" w:hAnsi="Times New Roman" w:cs="Times New Roman"/>
                <w:b/>
                <w:sz w:val="24"/>
                <w:szCs w:val="24"/>
              </w:rPr>
              <w:lastRenderedPageBreak/>
              <w:t>CONCLUSION</w:t>
            </w:r>
          </w:p>
        </w:tc>
        <w:tc>
          <w:tcPr>
            <w:tcW w:w="7920" w:type="dxa"/>
            <w:tcBorders>
              <w:top w:val="single" w:sz="8" w:space="0" w:color="000001"/>
              <w:left w:val="single" w:sz="8" w:space="0" w:color="000001"/>
              <w:bottom w:val="single" w:sz="8" w:space="0" w:color="000001"/>
              <w:right w:val="single" w:sz="8" w:space="0" w:color="000001"/>
            </w:tcBorders>
            <w:tcMar>
              <w:left w:w="80" w:type="dxa"/>
            </w:tcMar>
          </w:tcPr>
          <w:p w14:paraId="74979328" w14:textId="77777777" w:rsidR="00236003" w:rsidRDefault="00000000">
            <w:pPr>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In conclusion, this Big Data Dashboard on "Women Empowerment " provides an insightful overview of gender equality metrics, including the Women’s Empowerment Index (WEI), Gender Parity Index (GPI). Interactive charts reveal regional disparities, with high-income regions generally showing higher empowerment scores, while lower-income regions have more room for improvement. The dashboard highlights a positive link between economic development and gender parity, suggesting that women's empowerment contributes to societal progress. By tracking these metrics over time, the dashboard helps identify where targeted interventions in education, employment, and political participation could make the most impact, supporting global efforts toward achieving gender equality.</w:t>
            </w:r>
          </w:p>
        </w:tc>
      </w:tr>
    </w:tbl>
    <w:p w14:paraId="5F0B148C" w14:textId="77777777" w:rsidR="00236003" w:rsidRDefault="00236003">
      <w:pPr>
        <w:ind w:left="0" w:hanging="2"/>
      </w:pPr>
    </w:p>
    <w:sectPr w:rsidR="00236003">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panose1 w:val="00000000000000000000"/>
    <w:charset w:val="00"/>
    <w:family w:val="roman"/>
    <w:notTrueType/>
    <w:pitch w:val="default"/>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C31A1"/>
    <w:multiLevelType w:val="multilevel"/>
    <w:tmpl w:val="796C9A12"/>
    <w:lvl w:ilvl="0">
      <w:start w:val="1"/>
      <w:numFmt w:val="bullet"/>
      <w:lvlText w:val="●"/>
      <w:lvlJc w:val="left"/>
      <w:pPr>
        <w:ind w:left="720" w:hanging="360"/>
      </w:pPr>
      <w:rPr>
        <w:rFonts w:ascii="Arial" w:eastAsia="Arial" w:hAnsi="Arial" w:cs="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C86BCB"/>
    <w:multiLevelType w:val="multilevel"/>
    <w:tmpl w:val="2EE21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376D06"/>
    <w:multiLevelType w:val="multilevel"/>
    <w:tmpl w:val="9D4AB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810B6C"/>
    <w:multiLevelType w:val="multilevel"/>
    <w:tmpl w:val="D95C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95B1C"/>
    <w:multiLevelType w:val="multilevel"/>
    <w:tmpl w:val="1550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CF0C6C"/>
    <w:multiLevelType w:val="multilevel"/>
    <w:tmpl w:val="9B7C7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BE73DF"/>
    <w:multiLevelType w:val="multilevel"/>
    <w:tmpl w:val="0038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657A58"/>
    <w:multiLevelType w:val="multilevel"/>
    <w:tmpl w:val="C3D0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B077B0"/>
    <w:multiLevelType w:val="multilevel"/>
    <w:tmpl w:val="C10A0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EB73441"/>
    <w:multiLevelType w:val="multilevel"/>
    <w:tmpl w:val="A9DCD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0554608"/>
    <w:multiLevelType w:val="multilevel"/>
    <w:tmpl w:val="B0BA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1070FA"/>
    <w:multiLevelType w:val="multilevel"/>
    <w:tmpl w:val="DAEE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1229534">
    <w:abstractNumId w:val="8"/>
  </w:num>
  <w:num w:numId="2" w16cid:durableId="913009129">
    <w:abstractNumId w:val="1"/>
  </w:num>
  <w:num w:numId="3" w16cid:durableId="768159780">
    <w:abstractNumId w:val="5"/>
  </w:num>
  <w:num w:numId="4" w16cid:durableId="1757555445">
    <w:abstractNumId w:val="0"/>
  </w:num>
  <w:num w:numId="5" w16cid:durableId="2120181154">
    <w:abstractNumId w:val="2"/>
  </w:num>
  <w:num w:numId="6" w16cid:durableId="479733591">
    <w:abstractNumId w:val="9"/>
  </w:num>
  <w:num w:numId="7" w16cid:durableId="1884556234">
    <w:abstractNumId w:val="3"/>
  </w:num>
  <w:num w:numId="8" w16cid:durableId="195850672">
    <w:abstractNumId w:val="11"/>
  </w:num>
  <w:num w:numId="9" w16cid:durableId="2025864564">
    <w:abstractNumId w:val="7"/>
  </w:num>
  <w:num w:numId="10" w16cid:durableId="665866448">
    <w:abstractNumId w:val="6"/>
  </w:num>
  <w:num w:numId="11" w16cid:durableId="712313733">
    <w:abstractNumId w:val="10"/>
  </w:num>
  <w:num w:numId="12" w16cid:durableId="3592841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003"/>
    <w:rsid w:val="002131D3"/>
    <w:rsid w:val="002355AF"/>
    <w:rsid w:val="00236003"/>
    <w:rsid w:val="004478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42517"/>
  <w15:docId w15:val="{D9893045-5369-4A1D-8D3C-59068A8CD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A"/>
        <w:sz w:val="22"/>
        <w:szCs w:val="22"/>
        <w:lang w:val="en-IN" w:eastAsia="en-IN"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zh-CN" w:bidi="hi-IN"/>
    </w:rPr>
  </w:style>
  <w:style w:type="paragraph" w:styleId="Heading1">
    <w:name w:val="heading 1"/>
    <w:next w:val="Normal"/>
    <w:uiPriority w:val="9"/>
    <w:qFormat/>
    <w:pPr>
      <w:keepNext/>
      <w:keepLines/>
      <w:suppressAutoHyphens/>
      <w:spacing w:before="400" w:after="120" w:line="1" w:lineRule="atLeast"/>
      <w:ind w:leftChars="-1" w:left="-1" w:hangingChars="1" w:hanging="1"/>
      <w:textDirection w:val="btLr"/>
      <w:textAlignment w:val="top"/>
      <w:outlineLvl w:val="0"/>
    </w:pPr>
    <w:rPr>
      <w:position w:val="-1"/>
      <w:sz w:val="40"/>
      <w:szCs w:val="40"/>
      <w:lang w:eastAsia="zh-CN" w:bidi="hi-IN"/>
    </w:rPr>
  </w:style>
  <w:style w:type="paragraph" w:styleId="Heading2">
    <w:name w:val="heading 2"/>
    <w:next w:val="Normal"/>
    <w:uiPriority w:val="9"/>
    <w:semiHidden/>
    <w:unhideWhenUsed/>
    <w:qFormat/>
    <w:pPr>
      <w:keepNext/>
      <w:keepLines/>
      <w:suppressAutoHyphens/>
      <w:spacing w:before="360" w:after="120" w:line="1" w:lineRule="atLeast"/>
      <w:ind w:leftChars="-1" w:left="-1" w:hangingChars="1" w:hanging="1"/>
      <w:textDirection w:val="btLr"/>
      <w:textAlignment w:val="top"/>
      <w:outlineLvl w:val="1"/>
    </w:pPr>
    <w:rPr>
      <w:position w:val="-1"/>
      <w:sz w:val="32"/>
      <w:szCs w:val="32"/>
      <w:lang w:eastAsia="zh-CN" w:bidi="hi-IN"/>
    </w:rPr>
  </w:style>
  <w:style w:type="paragraph" w:styleId="Heading3">
    <w:name w:val="heading 3"/>
    <w:next w:val="Normal"/>
    <w:uiPriority w:val="9"/>
    <w:semiHidden/>
    <w:unhideWhenUsed/>
    <w:qFormat/>
    <w:pPr>
      <w:keepNext/>
      <w:keepLines/>
      <w:suppressAutoHyphens/>
      <w:spacing w:before="320" w:after="80" w:line="1" w:lineRule="atLeast"/>
      <w:ind w:leftChars="-1" w:left="-1" w:hangingChars="1" w:hanging="1"/>
      <w:textDirection w:val="btLr"/>
      <w:textAlignment w:val="top"/>
      <w:outlineLvl w:val="2"/>
    </w:pPr>
    <w:rPr>
      <w:color w:val="434343"/>
      <w:position w:val="-1"/>
      <w:sz w:val="28"/>
      <w:szCs w:val="28"/>
      <w:lang w:eastAsia="zh-CN" w:bidi="hi-IN"/>
    </w:rPr>
  </w:style>
  <w:style w:type="paragraph" w:styleId="Heading4">
    <w:name w:val="heading 4"/>
    <w:next w:val="Normal"/>
    <w:uiPriority w:val="9"/>
    <w:semiHidden/>
    <w:unhideWhenUsed/>
    <w:qFormat/>
    <w:pPr>
      <w:keepNext/>
      <w:keepLines/>
      <w:suppressAutoHyphens/>
      <w:spacing w:before="280" w:after="80" w:line="1" w:lineRule="atLeast"/>
      <w:ind w:leftChars="-1" w:left="-1" w:hangingChars="1" w:hanging="1"/>
      <w:textDirection w:val="btLr"/>
      <w:textAlignment w:val="top"/>
      <w:outlineLvl w:val="3"/>
    </w:pPr>
    <w:rPr>
      <w:color w:val="666666"/>
      <w:position w:val="-1"/>
      <w:sz w:val="24"/>
      <w:szCs w:val="24"/>
      <w:lang w:eastAsia="zh-CN" w:bidi="hi-IN"/>
    </w:rPr>
  </w:style>
  <w:style w:type="paragraph" w:styleId="Heading5">
    <w:name w:val="heading 5"/>
    <w:next w:val="Normal"/>
    <w:uiPriority w:val="9"/>
    <w:semiHidden/>
    <w:unhideWhenUsed/>
    <w:qFormat/>
    <w:pPr>
      <w:keepNext/>
      <w:keepLines/>
      <w:suppressAutoHyphens/>
      <w:spacing w:before="240" w:after="80" w:line="1" w:lineRule="atLeast"/>
      <w:ind w:leftChars="-1" w:left="-1" w:hangingChars="1" w:hanging="1"/>
      <w:textDirection w:val="btLr"/>
      <w:textAlignment w:val="top"/>
      <w:outlineLvl w:val="4"/>
    </w:pPr>
    <w:rPr>
      <w:color w:val="666666"/>
      <w:position w:val="-1"/>
      <w:lang w:eastAsia="zh-CN" w:bidi="hi-IN"/>
    </w:rPr>
  </w:style>
  <w:style w:type="paragraph" w:styleId="Heading6">
    <w:name w:val="heading 6"/>
    <w:next w:val="Normal"/>
    <w:uiPriority w:val="9"/>
    <w:semiHidden/>
    <w:unhideWhenUsed/>
    <w:qFormat/>
    <w:pPr>
      <w:keepNext/>
      <w:keepLines/>
      <w:suppressAutoHyphens/>
      <w:spacing w:before="240" w:after="80" w:line="1" w:lineRule="atLeast"/>
      <w:ind w:leftChars="-1" w:left="-1" w:hangingChars="1" w:hanging="1"/>
      <w:textDirection w:val="btLr"/>
      <w:textAlignment w:val="top"/>
      <w:outlineLvl w:val="5"/>
    </w:pPr>
    <w:rPr>
      <w:i/>
      <w:color w:val="666666"/>
      <w:position w:val="-1"/>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Normal"/>
    <w:uiPriority w:val="10"/>
    <w:qFormat/>
    <w:pPr>
      <w:keepNext/>
      <w:keepLines/>
      <w:spacing w:after="60" w:line="240" w:lineRule="auto"/>
    </w:pPr>
    <w:rPr>
      <w:sz w:val="52"/>
      <w:szCs w:val="52"/>
    </w:rPr>
  </w:style>
  <w:style w:type="paragraph" w:styleId="BodyText">
    <w:name w:val="Body Text"/>
    <w:basedOn w:val="Normal"/>
    <w:pPr>
      <w:spacing w:after="140" w:line="288" w:lineRule="auto"/>
    </w:pPr>
  </w:style>
  <w:style w:type="paragraph" w:styleId="Caption">
    <w:name w:val="caption"/>
    <w:basedOn w:val="Normal"/>
    <w:pPr>
      <w:suppressLineNumbers/>
      <w:spacing w:before="120" w:after="120"/>
    </w:pPr>
    <w:rPr>
      <w:i/>
      <w:iCs/>
      <w:sz w:val="24"/>
      <w:szCs w:val="24"/>
    </w:rPr>
  </w:style>
  <w:style w:type="paragraph" w:styleId="List">
    <w:name w:val="List"/>
    <w:basedOn w:val="BodyText"/>
  </w:style>
  <w:style w:type="paragraph" w:styleId="Subtitle">
    <w:name w:val="Subtitle"/>
    <w:basedOn w:val="LO-normal"/>
    <w:next w:val="Normal"/>
    <w:uiPriority w:val="11"/>
    <w:qFormat/>
    <w:pPr>
      <w:keepNext/>
      <w:keepLines/>
      <w:widowControl/>
      <w:pBdr>
        <w:top w:val="nil"/>
        <w:left w:val="nil"/>
        <w:bottom w:val="nil"/>
        <w:right w:val="nil"/>
        <w:between w:val="nil"/>
      </w:pBdr>
      <w:spacing w:after="320" w:line="240" w:lineRule="auto"/>
      <w:ind w:left="0" w:firstLine="0"/>
    </w:pPr>
    <w:rPr>
      <w:color w:val="666666"/>
      <w:sz w:val="30"/>
      <w:szCs w:val="30"/>
    </w:rPr>
  </w:style>
  <w:style w:type="paragraph" w:customStyle="1" w:styleId="LO-normal">
    <w:name w:val="LO-normal"/>
    <w:pPr>
      <w:suppressAutoHyphens/>
      <w:spacing w:line="1" w:lineRule="atLeast"/>
      <w:ind w:leftChars="-1" w:left="-1" w:hangingChars="1" w:hanging="1"/>
      <w:textDirection w:val="btLr"/>
      <w:textAlignment w:val="top"/>
      <w:outlineLvl w:val="0"/>
    </w:pPr>
    <w:rPr>
      <w:position w:val="-1"/>
      <w:lang w:eastAsia="zh-CN" w:bidi="hi-IN"/>
    </w:rPr>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customStyle="1" w:styleId="Index">
    <w:name w:val="Index"/>
    <w:basedOn w:val="Normal"/>
    <w:pPr>
      <w:suppressLineNumbers/>
    </w:pPr>
  </w:style>
  <w:style w:type="paragraph" w:customStyle="1" w:styleId="TableContents">
    <w:name w:val="Table Contents"/>
    <w:basedOn w:val="Normal"/>
  </w:style>
  <w:style w:type="paragraph" w:customStyle="1" w:styleId="TableHeading">
    <w:name w:val="Table Heading"/>
    <w:basedOn w:val="TableContents"/>
  </w:style>
  <w:style w:type="table" w:customStyle="1" w:styleId="a">
    <w:basedOn w:val="TableNormal"/>
    <w:tblPr>
      <w:tblStyleRowBandSize w:val="1"/>
      <w:tblStyleColBandSize w:val="1"/>
      <w:tblCellMar>
        <w:top w:w="100" w:type="dxa"/>
        <w:left w:w="80" w:type="dxa"/>
        <w:bottom w:w="100" w:type="dxa"/>
        <w:right w:w="100" w:type="dxa"/>
      </w:tblCellMar>
    </w:tblPr>
  </w:style>
  <w:style w:type="table" w:customStyle="1" w:styleId="a0">
    <w:basedOn w:val="TableNormal"/>
    <w:tblPr>
      <w:tblStyleRowBandSize w:val="1"/>
      <w:tblStyleColBandSize w:val="1"/>
      <w:tblCellMar>
        <w:top w:w="100" w:type="dxa"/>
        <w:left w:w="80" w:type="dxa"/>
        <w:bottom w:w="100" w:type="dxa"/>
        <w:right w:w="100" w:type="dxa"/>
      </w:tblCellMar>
    </w:tblPr>
  </w:style>
  <w:style w:type="table" w:customStyle="1" w:styleId="a1">
    <w:basedOn w:val="TableNormal"/>
    <w:tblPr>
      <w:tblStyleRowBandSize w:val="1"/>
      <w:tblStyleColBandSize w:val="1"/>
      <w:tblCellMar>
        <w:top w:w="100" w:type="dxa"/>
        <w:left w:w="80" w:type="dxa"/>
        <w:bottom w:w="100" w:type="dxa"/>
        <w:right w:w="100" w:type="dxa"/>
      </w:tblCellMar>
    </w:tblPr>
  </w:style>
  <w:style w:type="table" w:customStyle="1" w:styleId="a2">
    <w:basedOn w:val="TableNormal"/>
    <w:tblPr>
      <w:tblStyleRowBandSize w:val="1"/>
      <w:tblStyleColBandSize w:val="1"/>
      <w:tblCellMar>
        <w:top w:w="100" w:type="dxa"/>
        <w:left w:w="80" w:type="dxa"/>
        <w:bottom w:w="100" w:type="dxa"/>
        <w:right w:w="100" w:type="dxa"/>
      </w:tblCellMar>
    </w:tblPr>
  </w:style>
  <w:style w:type="table" w:customStyle="1" w:styleId="a3">
    <w:basedOn w:val="TableNormal"/>
    <w:tblPr>
      <w:tblStyleRowBandSize w:val="1"/>
      <w:tblStyleColBandSize w:val="1"/>
      <w:tblCellMar>
        <w:top w:w="100" w:type="dxa"/>
        <w:left w:w="80" w:type="dxa"/>
        <w:bottom w:w="100" w:type="dxa"/>
        <w:right w:w="100" w:type="dxa"/>
      </w:tblCellMar>
    </w:tblPr>
  </w:style>
  <w:style w:type="table" w:customStyle="1" w:styleId="a4">
    <w:basedOn w:val="TableNormal"/>
    <w:tblPr>
      <w:tblStyleRowBandSize w:val="1"/>
      <w:tblStyleColBandSize w:val="1"/>
      <w:tblCellMar>
        <w:top w:w="100" w:type="dxa"/>
        <w:left w:w="80" w:type="dxa"/>
        <w:bottom w:w="100" w:type="dxa"/>
        <w:right w:w="100" w:type="dxa"/>
      </w:tblCellMar>
    </w:tblPr>
  </w:style>
  <w:style w:type="table" w:customStyle="1" w:styleId="a5">
    <w:basedOn w:val="TableNormal"/>
    <w:tblPr>
      <w:tblStyleRowBandSize w:val="1"/>
      <w:tblStyleColBandSize w:val="1"/>
      <w:tblCellMar>
        <w:top w:w="100" w:type="dxa"/>
        <w:left w:w="80" w:type="dxa"/>
        <w:bottom w:w="100" w:type="dxa"/>
        <w:right w:w="100" w:type="dxa"/>
      </w:tblCellMar>
    </w:tblPr>
  </w:style>
  <w:style w:type="table" w:customStyle="1" w:styleId="a6">
    <w:basedOn w:val="TableNormal"/>
    <w:tblPr>
      <w:tblStyleRowBandSize w:val="1"/>
      <w:tblStyleColBandSize w:val="1"/>
      <w:tblCellMar>
        <w:top w:w="100" w:type="dxa"/>
        <w:left w:w="80" w:type="dxa"/>
        <w:bottom w:w="100" w:type="dxa"/>
        <w:right w:w="100" w:type="dxa"/>
      </w:tblCellMar>
    </w:tblPr>
  </w:style>
  <w:style w:type="table" w:customStyle="1" w:styleId="a7">
    <w:basedOn w:val="TableNormal"/>
    <w:tblPr>
      <w:tblStyleRowBandSize w:val="1"/>
      <w:tblStyleColBandSize w:val="1"/>
      <w:tblCellMar>
        <w:top w:w="100" w:type="dxa"/>
        <w:left w:w="80" w:type="dxa"/>
        <w:bottom w:w="100" w:type="dxa"/>
        <w:right w:w="100" w:type="dxa"/>
      </w:tblCellMar>
    </w:tblPr>
  </w:style>
  <w:style w:type="table" w:customStyle="1" w:styleId="a8">
    <w:basedOn w:val="TableNormal"/>
    <w:tblPr>
      <w:tblStyleRowBandSize w:val="1"/>
      <w:tblStyleColBandSize w:val="1"/>
      <w:tblCellMar>
        <w:top w:w="100" w:type="dxa"/>
        <w:left w:w="80" w:type="dxa"/>
        <w:bottom w:w="100" w:type="dxa"/>
        <w:right w:w="100" w:type="dxa"/>
      </w:tblCellMar>
    </w:tblPr>
  </w:style>
  <w:style w:type="table" w:customStyle="1" w:styleId="a9">
    <w:basedOn w:val="TableNormal"/>
    <w:tblPr>
      <w:tblStyleRowBandSize w:val="1"/>
      <w:tblStyleColBandSize w:val="1"/>
      <w:tblCellMar>
        <w:top w:w="100" w:type="dxa"/>
        <w:left w:w="80" w:type="dxa"/>
        <w:bottom w:w="100" w:type="dxa"/>
        <w:right w:w="100" w:type="dxa"/>
      </w:tblCellMar>
    </w:tblPr>
  </w:style>
  <w:style w:type="table" w:customStyle="1" w:styleId="aa">
    <w:basedOn w:val="TableNormal"/>
    <w:tblPr>
      <w:tblStyleRowBandSize w:val="1"/>
      <w:tblStyleColBandSize w:val="1"/>
      <w:tblCellMar>
        <w:top w:w="100" w:type="dxa"/>
        <w:left w:w="80" w:type="dxa"/>
        <w:bottom w:w="100" w:type="dxa"/>
        <w:right w:w="100" w:type="dxa"/>
      </w:tblCellMar>
    </w:tblPr>
  </w:style>
  <w:style w:type="table" w:customStyle="1" w:styleId="ab">
    <w:basedOn w:val="TableNormal"/>
    <w:tblPr>
      <w:tblStyleRowBandSize w:val="1"/>
      <w:tblStyleColBandSize w:val="1"/>
      <w:tblCellMar>
        <w:top w:w="100" w:type="dxa"/>
        <w:left w:w="80" w:type="dxa"/>
        <w:bottom w:w="100" w:type="dxa"/>
        <w:right w:w="100" w:type="dxa"/>
      </w:tblCellMar>
    </w:tblPr>
  </w:style>
  <w:style w:type="table" w:customStyle="1" w:styleId="ac">
    <w:basedOn w:val="TableNormal"/>
    <w:tblPr>
      <w:tblStyleRowBandSize w:val="1"/>
      <w:tblStyleColBandSize w:val="1"/>
      <w:tblCellMar>
        <w:top w:w="100" w:type="dxa"/>
        <w:left w:w="80" w:type="dxa"/>
        <w:bottom w:w="100" w:type="dxa"/>
        <w:right w:w="100" w:type="dxa"/>
      </w:tblCellMar>
    </w:tblPr>
  </w:style>
  <w:style w:type="table" w:customStyle="1" w:styleId="ad">
    <w:basedOn w:val="TableNormal"/>
    <w:tblPr>
      <w:tblStyleRowBandSize w:val="1"/>
      <w:tblStyleColBandSize w:val="1"/>
      <w:tblCellMar>
        <w:top w:w="100" w:type="dxa"/>
        <w:left w:w="80" w:type="dxa"/>
        <w:bottom w:w="100" w:type="dxa"/>
        <w:right w:w="100" w:type="dxa"/>
      </w:tblCellMar>
    </w:tblPr>
  </w:style>
  <w:style w:type="table" w:customStyle="1" w:styleId="ae">
    <w:basedOn w:val="TableNormal"/>
    <w:tblPr>
      <w:tblStyleRowBandSize w:val="1"/>
      <w:tblStyleColBandSize w:val="1"/>
      <w:tblCellMar>
        <w:top w:w="100" w:type="dxa"/>
        <w:left w:w="80" w:type="dxa"/>
        <w:bottom w:w="100" w:type="dxa"/>
        <w:right w:w="100" w:type="dxa"/>
      </w:tblCellMar>
    </w:tblPr>
  </w:style>
  <w:style w:type="table" w:customStyle="1" w:styleId="af">
    <w:basedOn w:val="TableNormal"/>
    <w:tblPr>
      <w:tblStyleRowBandSize w:val="1"/>
      <w:tblStyleColBandSize w:val="1"/>
      <w:tblCellMar>
        <w:top w:w="100" w:type="dxa"/>
        <w:left w:w="80" w:type="dxa"/>
        <w:bottom w:w="100" w:type="dxa"/>
        <w:right w:w="100" w:type="dxa"/>
      </w:tblCellMar>
    </w:tblPr>
  </w:style>
  <w:style w:type="table" w:customStyle="1" w:styleId="af0">
    <w:basedOn w:val="TableNormal"/>
    <w:tblPr>
      <w:tblStyleRowBandSize w:val="1"/>
      <w:tblStyleColBandSize w:val="1"/>
      <w:tblCellMar>
        <w:top w:w="100" w:type="dxa"/>
        <w:left w:w="80" w:type="dxa"/>
        <w:bottom w:w="100" w:type="dxa"/>
        <w:right w:w="100" w:type="dxa"/>
      </w:tblCellMar>
    </w:tblPr>
  </w:style>
  <w:style w:type="table" w:customStyle="1" w:styleId="af1">
    <w:basedOn w:val="TableNormal"/>
    <w:tblPr>
      <w:tblStyleRowBandSize w:val="1"/>
      <w:tblStyleColBandSize w:val="1"/>
      <w:tblCellMar>
        <w:top w:w="100" w:type="dxa"/>
        <w:left w:w="80" w:type="dxa"/>
        <w:bottom w:w="100" w:type="dxa"/>
        <w:right w:w="100" w:type="dxa"/>
      </w:tblCellMar>
    </w:tblPr>
  </w:style>
  <w:style w:type="table" w:customStyle="1" w:styleId="af2">
    <w:basedOn w:val="TableNormal"/>
    <w:tblPr>
      <w:tblStyleRowBandSize w:val="1"/>
      <w:tblStyleColBandSize w:val="1"/>
      <w:tblCellMar>
        <w:top w:w="100" w:type="dxa"/>
        <w:left w:w="80" w:type="dxa"/>
        <w:bottom w:w="100" w:type="dxa"/>
        <w:right w:w="100" w:type="dxa"/>
      </w:tblCellMar>
    </w:tblPr>
  </w:style>
  <w:style w:type="table" w:customStyle="1" w:styleId="af3">
    <w:basedOn w:val="TableNormal"/>
    <w:tblPr>
      <w:tblStyleRowBandSize w:val="1"/>
      <w:tblStyleColBandSize w:val="1"/>
      <w:tblCellMar>
        <w:top w:w="100" w:type="dxa"/>
        <w:left w:w="80" w:type="dxa"/>
        <w:bottom w:w="100" w:type="dxa"/>
        <w:right w:w="100" w:type="dxa"/>
      </w:tblCellMar>
    </w:tblPr>
  </w:style>
  <w:style w:type="table" w:customStyle="1" w:styleId="af4">
    <w:basedOn w:val="TableNormal"/>
    <w:tblPr>
      <w:tblStyleRowBandSize w:val="1"/>
      <w:tblStyleColBandSize w:val="1"/>
      <w:tblCellMar>
        <w:top w:w="100" w:type="dxa"/>
        <w:left w:w="80" w:type="dxa"/>
        <w:bottom w:w="100" w:type="dxa"/>
        <w:right w:w="100" w:type="dxa"/>
      </w:tblCellMar>
    </w:tblPr>
  </w:style>
  <w:style w:type="table" w:customStyle="1" w:styleId="af5">
    <w:basedOn w:val="TableNormal"/>
    <w:tblPr>
      <w:tblStyleRowBandSize w:val="1"/>
      <w:tblStyleColBandSize w:val="1"/>
      <w:tblCellMar>
        <w:top w:w="100" w:type="dxa"/>
        <w:left w:w="80" w:type="dxa"/>
        <w:bottom w:w="100" w:type="dxa"/>
        <w:right w:w="100" w:type="dxa"/>
      </w:tblCellMar>
    </w:tblPr>
  </w:style>
  <w:style w:type="table" w:customStyle="1" w:styleId="af6">
    <w:basedOn w:val="TableNormal"/>
    <w:tblPr>
      <w:tblStyleRowBandSize w:val="1"/>
      <w:tblStyleColBandSize w:val="1"/>
      <w:tblCellMar>
        <w:top w:w="100" w:type="dxa"/>
        <w:left w:w="80" w:type="dxa"/>
        <w:bottom w:w="100" w:type="dxa"/>
        <w:right w:w="100" w:type="dxa"/>
      </w:tblCellMar>
    </w:tblPr>
  </w:style>
  <w:style w:type="table" w:customStyle="1" w:styleId="af7">
    <w:basedOn w:val="TableNormal"/>
    <w:tblPr>
      <w:tblStyleRowBandSize w:val="1"/>
      <w:tblStyleColBandSize w:val="1"/>
      <w:tblCellMar>
        <w:top w:w="100" w:type="dxa"/>
        <w:left w:w="80" w:type="dxa"/>
        <w:bottom w:w="100" w:type="dxa"/>
        <w:right w:w="100" w:type="dxa"/>
      </w:tblCellMar>
    </w:tblPr>
  </w:style>
  <w:style w:type="table" w:customStyle="1" w:styleId="af8">
    <w:basedOn w:val="TableNormal"/>
    <w:tblPr>
      <w:tblStyleRowBandSize w:val="1"/>
      <w:tblStyleColBandSize w:val="1"/>
      <w:tblCellMar>
        <w:top w:w="100" w:type="dxa"/>
        <w:left w:w="80" w:type="dxa"/>
        <w:bottom w:w="100" w:type="dxa"/>
        <w:right w:w="100" w:type="dxa"/>
      </w:tblCellMar>
    </w:tblPr>
  </w:style>
  <w:style w:type="paragraph" w:styleId="ListParagraph">
    <w:name w:val="List Paragraph"/>
    <w:basedOn w:val="Normal"/>
    <w:uiPriority w:val="34"/>
    <w:qFormat/>
    <w:rsid w:val="002355AF"/>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7163986">
      <w:bodyDiv w:val="1"/>
      <w:marLeft w:val="0"/>
      <w:marRight w:val="0"/>
      <w:marTop w:val="0"/>
      <w:marBottom w:val="0"/>
      <w:divBdr>
        <w:top w:val="none" w:sz="0" w:space="0" w:color="auto"/>
        <w:left w:val="none" w:sz="0" w:space="0" w:color="auto"/>
        <w:bottom w:val="none" w:sz="0" w:space="0" w:color="auto"/>
        <w:right w:val="none" w:sz="0" w:space="0" w:color="auto"/>
      </w:divBdr>
    </w:div>
    <w:div w:id="1989741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iamsouravbanerjee/women-empowerment-index/dat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AsmABk9fpnmVrl1rQFqwkeiYVg==">CgMxLjA4AHIhMVNXYVlKblZfb09QcTNvRm5LLU9SM0ZCYmZzekZxSnRw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680</Words>
  <Characters>3880</Characters>
  <Application>Microsoft Office Word</Application>
  <DocSecurity>0</DocSecurity>
  <Lines>32</Lines>
  <Paragraphs>9</Paragraphs>
  <ScaleCrop>false</ScaleCrop>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Varshil Shah</cp:lastModifiedBy>
  <cp:revision>2</cp:revision>
  <dcterms:created xsi:type="dcterms:W3CDTF">2024-11-09T09:15:00Z</dcterms:created>
  <dcterms:modified xsi:type="dcterms:W3CDTF">2024-11-09T09:15:00Z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4E093F8E8965409397F4808864180843_12</vt:lpwstr>
  </property>
</Properties>
</file>