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7713" w:leader="none"/>
        </w:tabs>
        <w:suppressAutoHyphens w:val="true"/>
        <w:bidi w:val="0"/>
        <w:spacing w:lineRule="auto" w:line="276" w:before="0" w:after="120"/>
        <w:ind w:left="-1260" w:right="0" w:hanging="0"/>
        <w:jc w:val="left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1689735</wp:posOffset>
                </wp:positionH>
                <wp:positionV relativeFrom="paragraph">
                  <wp:posOffset>-353695</wp:posOffset>
                </wp:positionV>
                <wp:extent cx="1492885" cy="2222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92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Student Enquiry CRM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33.05pt;margin-top:-27.85pt;width:117.5pt;height:17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  <w:t>Student Enquiry CRM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bookmarkStart w:id="0" w:name="phase-1--problem-understanding--industry"/>
      <w:bookmarkEnd w:id="0"/>
      <w:r>
        <w:rPr>
          <w:rFonts w:ascii="Times New Roman" w:hAnsi="Times New Roman"/>
          <w:sz w:val="22"/>
          <w:szCs w:val="22"/>
        </w:rPr>
        <w:t>Phase 1 – Problem Understanding &amp; Industry Analysis</w:t>
      </w:r>
    </w:p>
    <w:p>
      <w:pPr>
        <w:pStyle w:val="Horizontal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 Requirement Gathering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>Description:</w:t>
      </w:r>
      <w:r>
        <w:rPr>
          <w:rFonts w:ascii="Times New Roman" w:hAnsi="Times New Roman"/>
          <w:sz w:val="22"/>
          <w:szCs w:val="22"/>
        </w:rPr>
        <w:br/>
        <w:t>Many educational institutions receive student enquiries from multiple channels such as website forms, referrals, and events. Tracking these manually can lead to missed follow-ups and lost potential students.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>The Student Enquiry CRM aims to: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Record all student enquiries in a structured format.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Automate follow-up reminders for counselors.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Track enquiry sources to evaluate marketing effectiveness.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Improve conversion rates from enquiries to enrolled students.</w:t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 Stakeholder Analysis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>Description:</w:t>
      </w:r>
      <w:r>
        <w:rPr>
          <w:rFonts w:ascii="Times New Roman" w:hAnsi="Times New Roman"/>
          <w:sz w:val="22"/>
          <w:szCs w:val="22"/>
        </w:rPr>
        <w:br/>
        <w:t>Identifying stakeholders helps understand who will interact with the CRM and their requirements.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>Table of Stakeholders: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4"/>
        <w:gridCol w:w="1686"/>
        <w:gridCol w:w="5610"/>
      </w:tblGrid>
      <w:tr>
        <w:trPr>
          <w:tblHeader w:val="true"/>
        </w:trPr>
        <w:tc>
          <w:tcPr>
            <w:tcW w:w="1344" w:type="dxa"/>
            <w:tcBorders/>
            <w:vAlign w:val="center"/>
          </w:tcPr>
          <w:p>
            <w:pPr>
              <w:pStyle w:val="TableHeading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Stakeholder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Heading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5610" w:type="dxa"/>
            <w:tcBorders/>
            <w:vAlign w:val="center"/>
          </w:tcPr>
          <w:p>
            <w:pPr>
              <w:pStyle w:val="TableHeading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Requirement from CRM</w:t>
            </w:r>
          </w:p>
        </w:tc>
      </w:tr>
      <w:tr>
        <w:trPr/>
        <w:tc>
          <w:tcPr>
            <w:tcW w:w="134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Counselor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Manage enquiries</w:t>
            </w:r>
          </w:p>
        </w:tc>
        <w:tc>
          <w:tcPr>
            <w:tcW w:w="561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View new enquiries, receive follow-up reminders, update status</w:t>
            </w:r>
          </w:p>
        </w:tc>
      </w:tr>
      <w:tr>
        <w:trPr/>
        <w:tc>
          <w:tcPr>
            <w:tcW w:w="134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Configure CRM</w:t>
            </w:r>
          </w:p>
        </w:tc>
        <w:tc>
          <w:tcPr>
            <w:tcW w:w="561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 users, manage fields, automate flows</w:t>
            </w:r>
          </w:p>
        </w:tc>
      </w:tr>
      <w:tr>
        <w:trPr/>
        <w:tc>
          <w:tcPr>
            <w:tcW w:w="134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Student</w:t>
            </w:r>
          </w:p>
        </w:tc>
        <w:tc>
          <w:tcPr>
            <w:tcW w:w="168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 enquiry</w:t>
            </w:r>
          </w:p>
        </w:tc>
        <w:tc>
          <w:tcPr>
            <w:tcW w:w="561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Receive timely follow-up from counselors</w:t>
            </w:r>
          </w:p>
        </w:tc>
      </w:tr>
    </w:tbl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 Business Process Mapping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 xml:space="preserve"> </w:t>
      </w:r>
      <w:r>
        <w:rPr>
          <w:rStyle w:val="StrongEmphasis"/>
          <w:rFonts w:ascii="Times New Roman" w:hAnsi="Times New Roman"/>
          <w:sz w:val="22"/>
          <w:szCs w:val="22"/>
        </w:rPr>
        <w:t>Description:</w:t>
      </w:r>
      <w:r>
        <w:rPr>
          <w:rFonts w:ascii="Times New Roman" w:hAnsi="Times New Roman"/>
          <w:sz w:val="22"/>
          <w:szCs w:val="22"/>
        </w:rPr>
        <w:br/>
        <w:t>The business process shows the lifecycle of a student enquiry: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Student submits enquiry (via Website, Referral, Event).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CRM records the enquiry in the Student Enquiry object.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Follow-Up Task is automatically created for counselors.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Counselor completes follow-up.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2"/>
          <w:szCs w:val="22"/>
        </w:rPr>
        <w:t>Status updated to Converted or Lost.</w:t>
      </w:r>
    </w:p>
    <w:p>
      <w:pPr>
        <w:pStyle w:val="Horizontal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 Industry-specific Use Case Analysis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 xml:space="preserve"> </w:t>
      </w:r>
      <w:r>
        <w:rPr>
          <w:rStyle w:val="StrongEmphasis"/>
          <w:rFonts w:ascii="Times New Roman" w:hAnsi="Times New Roman"/>
          <w:sz w:val="22"/>
          <w:szCs w:val="22"/>
        </w:rPr>
        <w:t>Description:</w:t>
      </w:r>
      <w:r>
        <w:rPr>
          <w:rFonts w:ascii="Times New Roman" w:hAnsi="Times New Roman"/>
          <w:sz w:val="22"/>
          <w:szCs w:val="22"/>
        </w:rPr>
        <w:br/>
        <w:t>Education CRMs commonly use automated reminders and source tracking to improve student engagement and conversion.</w:t>
        <w:br/>
        <w:t>Key benefits include: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Ensures no enquiry is missed.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Provides data for evaluating marketing channels.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Improves counselor productivity.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Generates reports for management to track performance.</w:t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orizontal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2"/>
        <w:spacing w:before="200" w:after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 AppExchange Exploration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sz w:val="22"/>
          <w:szCs w:val="22"/>
        </w:rPr>
        <w:t xml:space="preserve"> </w:t>
      </w:r>
      <w:r>
        <w:rPr>
          <w:rStyle w:val="StrongEmphasis"/>
          <w:rFonts w:ascii="Times New Roman" w:hAnsi="Times New Roman"/>
          <w:sz w:val="22"/>
          <w:szCs w:val="22"/>
        </w:rPr>
        <w:t>Description:</w:t>
      </w:r>
      <w:r>
        <w:rPr>
          <w:rFonts w:ascii="Times New Roman" w:hAnsi="Times New Roman"/>
          <w:sz w:val="22"/>
          <w:szCs w:val="22"/>
        </w:rPr>
        <w:br/>
        <w:t>Salesforce AppExchange offers applications for lead and student enquiry management. Exploring these apps helped define features for our project, such as: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Automatic follow-up reminders.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Source tracking.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Reporting on enquiry conversions.</w:t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orizontal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120"/>
        <w:rPr>
          <w:rStyle w:val="StrongEmphasis"/>
          <w:rFonts w:ascii="Times New Roman" w:hAnsi="Times New Roman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2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Edit_Docx_PLUS/7.4.0.3$Windows_X86_64 LibreOffice_project/</Application>
  <AppVersion>15.0000</AppVersion>
  <Pages>2</Pages>
  <Words>268</Words>
  <Characters>1701</Characters>
  <CharactersWithSpaces>1916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2025-09-26T14:55:58Z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