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B2C5" w14:textId="77777777" w:rsidR="00FD5036" w:rsidRDefault="00E64F26">
      <w:pPr>
        <w:jc w:val="center"/>
      </w:pPr>
      <w:r>
        <w:rPr>
          <w:b/>
          <w:sz w:val="32"/>
        </w:rPr>
        <w:t>Streamlining IT Procurement: Automating Standard Laptop Orders with Flow Designer</w:t>
      </w:r>
    </w:p>
    <w:p w14:paraId="68EDF9F8" w14:textId="77777777" w:rsidR="00FD5036" w:rsidRDefault="00E64F26">
      <w:pPr>
        <w:spacing w:after="280"/>
        <w:jc w:val="center"/>
      </w:pPr>
      <w:r>
        <w:rPr>
          <w:b/>
          <w:sz w:val="32"/>
        </w:rPr>
        <w:t>6. Project Testing Phase</w:t>
      </w:r>
    </w:p>
    <w:p w14:paraId="0C9B8719" w14:textId="77777777" w:rsidR="00FD5036" w:rsidRDefault="00E64F26">
      <w:pPr>
        <w:spacing w:after="160"/>
        <w:jc w:val="both"/>
      </w:pPr>
      <w:r>
        <w:rPr>
          <w:sz w:val="28"/>
        </w:rPr>
        <w:t>The testing phase verifies the workflow by following the Standard Laptop request process in ServiceNow. The test begins from the Service Catalog, where the Hardware category is opened and the Standard Laptop item is selected.</w:t>
      </w:r>
    </w:p>
    <w:p w14:paraId="459A820E" w14:textId="77777777" w:rsidR="00FD5036" w:rsidRDefault="00E64F26">
      <w:pPr>
        <w:spacing w:after="160"/>
        <w:jc w:val="both"/>
      </w:pPr>
      <w:r>
        <w:rPr>
          <w:sz w:val="28"/>
        </w:rPr>
        <w:t>The Standard Laptop request is placed using the Order Now option. After placing the request, the order status is checked and the Request Number is opened to access the Requested Item record.</w:t>
      </w:r>
    </w:p>
    <w:p w14:paraId="537C20DC" w14:textId="77777777" w:rsidR="00FD5036" w:rsidRDefault="00E64F26">
      <w:pPr>
        <w:spacing w:after="160"/>
        <w:jc w:val="both"/>
      </w:pPr>
      <w:r>
        <w:rPr>
          <w:sz w:val="28"/>
        </w:rPr>
        <w:t>The Approvers section is then opened and the request is approved. After approval, the Requested Item section is accessed and the Requested Item record is opened.</w:t>
      </w:r>
    </w:p>
    <w:p w14:paraId="5C058697" w14:textId="77777777" w:rsidR="00FD5036" w:rsidRDefault="00E64F26">
      <w:pPr>
        <w:spacing w:after="160"/>
        <w:jc w:val="both"/>
      </w:pPr>
      <w:r>
        <w:rPr>
          <w:sz w:val="28"/>
        </w:rPr>
        <w:t>The Catalog Tasks section is checked to verify the result of the automation. The task record should show the updated status together with the configured short description and the assigned group.</w:t>
      </w:r>
    </w:p>
    <w:p w14:paraId="5B09338F" w14:textId="77777777" w:rsidR="00FD5036" w:rsidRDefault="00E64F26">
      <w:pPr>
        <w:spacing w:after="160"/>
        <w:jc w:val="both"/>
      </w:pPr>
      <w:r>
        <w:rPr>
          <w:sz w:val="28"/>
        </w:rPr>
        <w:t>The documented testing flow is therefore based on confirming that the request can be placed, approved, and followed through to the catalog task created by the Flow Designer automation.</w:t>
      </w:r>
    </w:p>
    <w:sectPr w:rsidR="00FD503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223622">
    <w:abstractNumId w:val="8"/>
  </w:num>
  <w:num w:numId="2" w16cid:durableId="658847153">
    <w:abstractNumId w:val="6"/>
  </w:num>
  <w:num w:numId="3" w16cid:durableId="1395156856">
    <w:abstractNumId w:val="5"/>
  </w:num>
  <w:num w:numId="4" w16cid:durableId="1086224270">
    <w:abstractNumId w:val="4"/>
  </w:num>
  <w:num w:numId="5" w16cid:durableId="254288898">
    <w:abstractNumId w:val="7"/>
  </w:num>
  <w:num w:numId="6" w16cid:durableId="153110883">
    <w:abstractNumId w:val="3"/>
  </w:num>
  <w:num w:numId="7" w16cid:durableId="348996591">
    <w:abstractNumId w:val="2"/>
  </w:num>
  <w:num w:numId="8" w16cid:durableId="2003391678">
    <w:abstractNumId w:val="1"/>
  </w:num>
  <w:num w:numId="9" w16cid:durableId="478302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B1D9B"/>
    <w:rsid w:val="00E64F26"/>
    <w:rsid w:val="00FC693F"/>
    <w:rsid w:val="00FD50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882287"/>
  <w14:defaultImageDpi w14:val="300"/>
  <w15:docId w15:val="{F1940CE1-3DCB-DF45-BBB2-3D2E8A82E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Porutselvi A</cp:lastModifiedBy>
  <cp:revision>2</cp:revision>
  <dcterms:created xsi:type="dcterms:W3CDTF">2026-09-27T14:44:00Z</dcterms:created>
  <dcterms:modified xsi:type="dcterms:W3CDTF">2026-09-27T14:44:00Z</dcterms:modified>
  <cp:category/>
</cp:coreProperties>
</file>