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8"/>
        </w:rPr>
        <w:t>Lab 1: Requirements Table</w:t>
      </w:r>
    </w:p>
    <w:p>
      <w:pPr>
        <w:spacing w:after="40"/>
        <w:jc w:val="center"/>
      </w:pPr>
      <w:r>
        <w:rPr>
          <w:b/>
          <w:sz w:val="18"/>
        </w:rPr>
        <w:t>Name: Varshini A   |   SRN: PES1UG24CS517   |   Section: I   |   Course: Software Engineering (UE24CS341A)</w:t>
      </w:r>
    </w:p>
    <w:p>
      <w:pPr>
        <w:spacing w:after="40"/>
        <w:jc w:val="center"/>
      </w:pPr>
      <w:r>
        <w:rPr>
          <w:b/>
          <w:sz w:val="18"/>
        </w:rPr>
        <w:t>Problem Statement: #28 - Inter-City Freight Load Matching Marketplace</w:t>
      </w:r>
    </w:p>
    <w:p>
      <w:pPr>
        <w:spacing w:after="80"/>
      </w:pPr>
      <w:r>
        <w:rPr>
          <w:b/>
        </w:rPr>
        <w:t xml:space="preserve">Scenario: </w:t>
      </w:r>
      <w:r>
        <w:t>A B2B freight brokerage exchange where commercial shippers post cargo loads and trucking carriers submit bids, with automated milestone payment release upon proof-of-delivery sign-off.</w:t>
      </w:r>
    </w:p>
    <w:tbl>
      <w:tblPr>
        <w:tblStyle w:val="TableGrid"/>
        <w:tblW w:type="auto" w:w="0"/>
        <w:jc w:val="center"/>
        <w:tblLook w:firstColumn="1" w:firstRow="1" w:lastColumn="0" w:lastRow="0" w:noHBand="0" w:noVBand="1" w:val="04A0"/>
      </w:tblPr>
      <w:tblGrid>
        <w:gridCol w:w="2292"/>
        <w:gridCol w:w="2292"/>
        <w:gridCol w:w="2292"/>
        <w:gridCol w:w="2292"/>
        <w:gridCol w:w="2292"/>
        <w:gridCol w:w="2292"/>
        <w:gridCol w:w="2292"/>
      </w:tblGrid>
      <w:tr>
        <w:trPr>
          <w:tblHeader w:val="true"/>
        </w:trPr>
        <w:tc>
          <w:tcPr>
            <w:tcW w:type="dxa" w:w="2292"/>
            <w:vAlign w:val="center"/>
            <w:shd w:fill="D9D9D9"/>
            <w:tcMar>
              <w:top w:w="45" w:type="dxa"/>
              <w:start w:w="55" w:type="dxa"/>
              <w:bottom w:w="45" w:type="dxa"/>
              <w:end w:w="55" w:type="dxa"/>
            </w:tcMar>
          </w:tcPr>
          <w:p>
            <w:pPr>
              <w:jc w:val="center"/>
            </w:pPr>
            <w:r>
              <w:rPr>
                <w:rFonts w:ascii="Arial" w:hAnsi="Arial"/>
                <w:b/>
                <w:sz w:val="16"/>
              </w:rPr>
              <w:t>Req ID</w:t>
            </w:r>
          </w:p>
        </w:tc>
        <w:tc>
          <w:tcPr>
            <w:tcW w:type="dxa" w:w="2292"/>
            <w:vAlign w:val="center"/>
            <w:shd w:fill="D9D9D9"/>
            <w:tcMar>
              <w:top w:w="45" w:type="dxa"/>
              <w:start w:w="55" w:type="dxa"/>
              <w:bottom w:w="45" w:type="dxa"/>
              <w:end w:w="55" w:type="dxa"/>
            </w:tcMar>
          </w:tcPr>
          <w:p>
            <w:pPr>
              <w:jc w:val="center"/>
            </w:pPr>
            <w:r>
              <w:rPr>
                <w:rFonts w:ascii="Arial" w:hAnsi="Arial"/>
                <w:b/>
                <w:sz w:val="16"/>
              </w:rPr>
              <w:t>Type</w:t>
            </w:r>
          </w:p>
        </w:tc>
        <w:tc>
          <w:tcPr>
            <w:tcW w:type="dxa" w:w="2292"/>
            <w:vAlign w:val="center"/>
            <w:shd w:fill="D9D9D9"/>
            <w:tcMar>
              <w:top w:w="45" w:type="dxa"/>
              <w:start w:w="55" w:type="dxa"/>
              <w:bottom w:w="45" w:type="dxa"/>
              <w:end w:w="55" w:type="dxa"/>
            </w:tcMar>
          </w:tcPr>
          <w:p>
            <w:pPr>
              <w:jc w:val="center"/>
            </w:pPr>
            <w:r>
              <w:rPr>
                <w:rFonts w:ascii="Arial" w:hAnsi="Arial"/>
                <w:b/>
                <w:sz w:val="16"/>
              </w:rPr>
              <w:t>Description</w:t>
            </w:r>
          </w:p>
        </w:tc>
        <w:tc>
          <w:tcPr>
            <w:tcW w:type="dxa" w:w="2292"/>
            <w:vAlign w:val="center"/>
            <w:shd w:fill="D9D9D9"/>
            <w:tcMar>
              <w:top w:w="45" w:type="dxa"/>
              <w:start w:w="55" w:type="dxa"/>
              <w:bottom w:w="45" w:type="dxa"/>
              <w:end w:w="55" w:type="dxa"/>
            </w:tcMar>
          </w:tcPr>
          <w:p>
            <w:pPr>
              <w:jc w:val="center"/>
            </w:pPr>
            <w:r>
              <w:rPr>
                <w:rFonts w:ascii="Arial" w:hAnsi="Arial"/>
                <w:b/>
                <w:sz w:val="16"/>
              </w:rPr>
              <w:t>Priority</w:t>
            </w:r>
          </w:p>
        </w:tc>
        <w:tc>
          <w:tcPr>
            <w:tcW w:type="dxa" w:w="2292"/>
            <w:vAlign w:val="center"/>
            <w:shd w:fill="D9D9D9"/>
            <w:tcMar>
              <w:top w:w="45" w:type="dxa"/>
              <w:start w:w="55" w:type="dxa"/>
              <w:bottom w:w="45" w:type="dxa"/>
              <w:end w:w="55" w:type="dxa"/>
            </w:tcMar>
          </w:tcPr>
          <w:p>
            <w:pPr>
              <w:jc w:val="center"/>
            </w:pPr>
            <w:r>
              <w:rPr>
                <w:rFonts w:ascii="Arial" w:hAnsi="Arial"/>
                <w:b/>
                <w:sz w:val="16"/>
              </w:rPr>
              <w:t>Acceptance Criteria</w:t>
            </w:r>
          </w:p>
        </w:tc>
        <w:tc>
          <w:tcPr>
            <w:tcW w:type="dxa" w:w="2292"/>
            <w:vAlign w:val="center"/>
            <w:shd w:fill="D9D9D9"/>
            <w:tcMar>
              <w:top w:w="45" w:type="dxa"/>
              <w:start w:w="55" w:type="dxa"/>
              <w:bottom w:w="45" w:type="dxa"/>
              <w:end w:w="55" w:type="dxa"/>
            </w:tcMar>
          </w:tcPr>
          <w:p>
            <w:pPr>
              <w:jc w:val="center"/>
            </w:pPr>
            <w:r>
              <w:rPr>
                <w:rFonts w:ascii="Arial" w:hAnsi="Arial"/>
                <w:b/>
                <w:sz w:val="16"/>
              </w:rPr>
              <w:t>Rationale</w:t>
            </w:r>
          </w:p>
        </w:tc>
        <w:tc>
          <w:tcPr>
            <w:tcW w:type="dxa" w:w="2292"/>
            <w:vAlign w:val="center"/>
            <w:shd w:fill="D9D9D9"/>
            <w:tcMar>
              <w:top w:w="45" w:type="dxa"/>
              <w:start w:w="55" w:type="dxa"/>
              <w:bottom w:w="45" w:type="dxa"/>
              <w:end w:w="55" w:type="dxa"/>
            </w:tcMar>
          </w:tcPr>
          <w:p>
            <w:pPr>
              <w:jc w:val="center"/>
            </w:pPr>
            <w:r>
              <w:rPr>
                <w:rFonts w:ascii="Arial" w:hAnsi="Arial"/>
                <w:b/>
                <w:sz w:val="16"/>
              </w:rPr>
              <w:t>Comments</w:t>
            </w:r>
          </w:p>
        </w:tc>
      </w:tr>
      <w:tr>
        <w:trPr>
          <w:cantSplit/>
        </w:trPr>
        <w:tc>
          <w:tcPr>
            <w:tcW w:type="dxa" w:w="709"/>
            <w:tcMar>
              <w:top w:w="45" w:type="dxa"/>
              <w:start w:w="55" w:type="dxa"/>
              <w:bottom w:w="45" w:type="dxa"/>
              <w:end w:w="55" w:type="dxa"/>
            </w:tcMar>
            <w:vAlign w:val="center"/>
          </w:tcPr>
          <w:p>
            <w:pPr>
              <w:spacing w:after="0" w:line="240" w:lineRule="auto"/>
              <w:jc w:val="center"/>
            </w:pPr>
            <w:r/>
            <w:r>
              <w:rPr>
                <w:rFonts w:ascii="Arial" w:hAnsi="Arial"/>
                <w:sz w:val="16"/>
              </w:rPr>
              <w:t>FR-001</w:t>
            </w:r>
          </w:p>
        </w:tc>
        <w:tc>
          <w:tcPr>
            <w:tcW w:type="dxa" w:w="992"/>
            <w:tcMar>
              <w:top w:w="45" w:type="dxa"/>
              <w:start w:w="55" w:type="dxa"/>
              <w:bottom w:w="45" w:type="dxa"/>
              <w:end w:w="55" w:type="dxa"/>
            </w:tcMar>
            <w:vAlign w:val="center"/>
          </w:tcPr>
          <w:p>
            <w:pPr>
              <w:spacing w:after="0" w:line="240" w:lineRule="auto"/>
              <w:jc w:val="center"/>
            </w:pPr>
            <w:r/>
            <w:r>
              <w:rPr>
                <w:rFonts w:ascii="Arial" w:hAnsi="Arial"/>
                <w:sz w:val="16"/>
              </w:rPr>
              <w:t>Functional</w:t>
            </w:r>
          </w:p>
        </w:tc>
        <w:tc>
          <w:tcPr>
            <w:tcW w:type="dxa" w:w="3543"/>
            <w:tcMar>
              <w:top w:w="45" w:type="dxa"/>
              <w:start w:w="55" w:type="dxa"/>
              <w:bottom w:w="45" w:type="dxa"/>
              <w:end w:w="55" w:type="dxa"/>
            </w:tcMar>
            <w:vAlign w:val="top"/>
          </w:tcPr>
          <w:p>
            <w:pPr>
              <w:spacing w:after="0" w:line="240" w:lineRule="auto"/>
            </w:pPr>
            <w:r/>
            <w:r>
              <w:rPr>
                <w:rFonts w:ascii="Arial" w:hAnsi="Arial"/>
                <w:sz w:val="16"/>
              </w:rPr>
              <w:t>The system shall allow verified trucking carriers to submit competitive bids on posted freight shipments within a specified auction timeframe.</w:t>
            </w:r>
          </w:p>
        </w:tc>
        <w:tc>
          <w:tcPr>
            <w:tcW w:type="dxa" w:w="765"/>
            <w:tcMar>
              <w:top w:w="45" w:type="dxa"/>
              <w:start w:w="55" w:type="dxa"/>
              <w:bottom w:w="45" w:type="dxa"/>
              <w:end w:w="55" w:type="dxa"/>
            </w:tcMar>
            <w:vAlign w:val="center"/>
          </w:tcPr>
          <w:p>
            <w:pPr>
              <w:spacing w:after="0" w:line="240" w:lineRule="auto"/>
              <w:jc w:val="center"/>
            </w:pPr>
            <w:r/>
            <w:r>
              <w:rPr>
                <w:rFonts w:ascii="Arial" w:hAnsi="Arial"/>
                <w:sz w:val="16"/>
              </w:rPr>
              <w:t>High</w:t>
            </w:r>
          </w:p>
        </w:tc>
        <w:tc>
          <w:tcPr>
            <w:tcW w:type="dxa" w:w="3969"/>
            <w:tcMar>
              <w:top w:w="45" w:type="dxa"/>
              <w:start w:w="55" w:type="dxa"/>
              <w:bottom w:w="45" w:type="dxa"/>
              <w:end w:w="55" w:type="dxa"/>
            </w:tcMar>
            <w:vAlign w:val="top"/>
          </w:tcPr>
          <w:p>
            <w:pPr>
              <w:spacing w:after="0" w:line="240" w:lineRule="auto"/>
            </w:pPr>
            <w:r/>
            <w:r>
              <w:rPr>
                <w:rFonts w:ascii="Arial" w:hAnsi="Arial"/>
                <w:sz w:val="16"/>
              </w:rPr>
              <w:t>Pass: a bid submitted by a verified carrier during the specified auction timeframe is recorded and the shipper is notified.</w:t>
            </w:r>
          </w:p>
          <w:p>
            <w:pPr>
              <w:spacing w:after="0" w:line="240" w:lineRule="auto"/>
            </w:pPr>
            <w:r>
              <w:rPr>
                <w:rFonts w:ascii="Arial" w:hAnsi="Arial"/>
                <w:sz w:val="16"/>
              </w:rPr>
              <w:t>Fail: an unverified carrier is able to submit a bid, or a bid submitted after the auction timeframe is accepted.</w:t>
            </w:r>
          </w:p>
        </w:tc>
        <w:tc>
          <w:tcPr>
            <w:tcW w:type="dxa" w:w="2268"/>
            <w:tcMar>
              <w:top w:w="45" w:type="dxa"/>
              <w:start w:w="55" w:type="dxa"/>
              <w:bottom w:w="45" w:type="dxa"/>
              <w:end w:w="55" w:type="dxa"/>
            </w:tcMar>
            <w:vAlign w:val="top"/>
          </w:tcPr>
          <w:p>
            <w:pPr>
              <w:spacing w:after="0" w:line="240" w:lineRule="auto"/>
            </w:pPr>
            <w:r/>
            <w:r>
              <w:rPr>
                <w:rFonts w:ascii="Arial" w:hAnsi="Arial"/>
                <w:sz w:val="16"/>
              </w:rPr>
              <w:t>Bidding is the core marketplace interaction between shippers and carriers.</w:t>
            </w:r>
          </w:p>
        </w:tc>
        <w:tc>
          <w:tcPr>
            <w:tcW w:type="dxa" w:w="1928"/>
            <w:tcMar>
              <w:top w:w="45" w:type="dxa"/>
              <w:start w:w="55" w:type="dxa"/>
              <w:bottom w:w="45" w:type="dxa"/>
              <w:end w:w="55" w:type="dxa"/>
            </w:tcMar>
            <w:vAlign w:val="top"/>
          </w:tcPr>
          <w:p>
            <w:pPr>
              <w:spacing w:after="0" w:line="240" w:lineRule="auto"/>
            </w:pPr>
            <w:r/>
            <w:r>
              <w:rPr>
                <w:rFonts w:ascii="Arial" w:hAnsi="Arial"/>
                <w:sz w:val="16"/>
              </w:rPr>
            </w:r>
          </w:p>
        </w:tc>
      </w:tr>
      <w:tr>
        <w:trPr>
          <w:cantSplit/>
        </w:trPr>
        <w:tc>
          <w:tcPr>
            <w:tcW w:type="dxa" w:w="709"/>
            <w:tcMar>
              <w:top w:w="45" w:type="dxa"/>
              <w:start w:w="55" w:type="dxa"/>
              <w:bottom w:w="45" w:type="dxa"/>
              <w:end w:w="55" w:type="dxa"/>
            </w:tcMar>
            <w:vAlign w:val="center"/>
          </w:tcPr>
          <w:p>
            <w:pPr>
              <w:spacing w:after="0" w:line="240" w:lineRule="auto"/>
              <w:jc w:val="center"/>
            </w:pPr>
            <w:r/>
            <w:r>
              <w:rPr>
                <w:rFonts w:ascii="Arial" w:hAnsi="Arial"/>
                <w:sz w:val="16"/>
              </w:rPr>
              <w:t>FR-002</w:t>
            </w:r>
          </w:p>
        </w:tc>
        <w:tc>
          <w:tcPr>
            <w:tcW w:type="dxa" w:w="992"/>
            <w:tcMar>
              <w:top w:w="45" w:type="dxa"/>
              <w:start w:w="55" w:type="dxa"/>
              <w:bottom w:w="45" w:type="dxa"/>
              <w:end w:w="55" w:type="dxa"/>
            </w:tcMar>
            <w:vAlign w:val="center"/>
          </w:tcPr>
          <w:p>
            <w:pPr>
              <w:spacing w:after="0" w:line="240" w:lineRule="auto"/>
              <w:jc w:val="center"/>
            </w:pPr>
            <w:r/>
            <w:r>
              <w:rPr>
                <w:rFonts w:ascii="Arial" w:hAnsi="Arial"/>
                <w:sz w:val="16"/>
              </w:rPr>
              <w:t>Functional</w:t>
            </w:r>
          </w:p>
        </w:tc>
        <w:tc>
          <w:tcPr>
            <w:tcW w:type="dxa" w:w="3543"/>
            <w:tcMar>
              <w:top w:w="45" w:type="dxa"/>
              <w:start w:w="55" w:type="dxa"/>
              <w:bottom w:w="45" w:type="dxa"/>
              <w:end w:w="55" w:type="dxa"/>
            </w:tcMar>
            <w:vAlign w:val="top"/>
          </w:tcPr>
          <w:p>
            <w:pPr>
              <w:spacing w:after="0" w:line="240" w:lineRule="auto"/>
            </w:pPr>
            <w:r/>
            <w:r>
              <w:rPr>
                <w:rFonts w:ascii="Arial" w:hAnsi="Arial"/>
                <w:sz w:val="16"/>
              </w:rPr>
              <w:t>The system shall allow a shipper to post a freight load by entering origin, destination, cargo type, weight, and pickup and delivery time windows.</w:t>
            </w:r>
          </w:p>
        </w:tc>
        <w:tc>
          <w:tcPr>
            <w:tcW w:type="dxa" w:w="765"/>
            <w:tcMar>
              <w:top w:w="45" w:type="dxa"/>
              <w:start w:w="55" w:type="dxa"/>
              <w:bottom w:w="45" w:type="dxa"/>
              <w:end w:w="55" w:type="dxa"/>
            </w:tcMar>
            <w:vAlign w:val="center"/>
          </w:tcPr>
          <w:p>
            <w:pPr>
              <w:spacing w:after="0" w:line="240" w:lineRule="auto"/>
              <w:jc w:val="center"/>
            </w:pPr>
            <w:r/>
            <w:r>
              <w:rPr>
                <w:rFonts w:ascii="Arial" w:hAnsi="Arial"/>
                <w:sz w:val="16"/>
              </w:rPr>
              <w:t>High</w:t>
            </w:r>
          </w:p>
        </w:tc>
        <w:tc>
          <w:tcPr>
            <w:tcW w:type="dxa" w:w="3969"/>
            <w:tcMar>
              <w:top w:w="45" w:type="dxa"/>
              <w:start w:w="55" w:type="dxa"/>
              <w:bottom w:w="45" w:type="dxa"/>
              <w:end w:w="55" w:type="dxa"/>
            </w:tcMar>
            <w:vAlign w:val="top"/>
          </w:tcPr>
          <w:p>
            <w:pPr>
              <w:spacing w:after="0" w:line="240" w:lineRule="auto"/>
            </w:pPr>
            <w:r/>
            <w:r>
              <w:rPr>
                <w:rFonts w:ascii="Arial" w:hAnsi="Arial"/>
                <w:sz w:val="16"/>
              </w:rPr>
              <w:t>Pass: after all required fields are submitted, the load is published and visible to verified carriers.</w:t>
            </w:r>
          </w:p>
          <w:p>
            <w:pPr>
              <w:spacing w:after="0" w:line="240" w:lineRule="auto"/>
            </w:pPr>
            <w:r>
              <w:rPr>
                <w:rFonts w:ascii="Arial" w:hAnsi="Arial"/>
                <w:sz w:val="16"/>
              </w:rPr>
              <w:t>Fail: a load with any required field missing is published.</w:t>
            </w:r>
          </w:p>
        </w:tc>
        <w:tc>
          <w:tcPr>
            <w:tcW w:type="dxa" w:w="2268"/>
            <w:tcMar>
              <w:top w:w="45" w:type="dxa"/>
              <w:start w:w="55" w:type="dxa"/>
              <w:bottom w:w="45" w:type="dxa"/>
              <w:end w:w="55" w:type="dxa"/>
            </w:tcMar>
            <w:vAlign w:val="top"/>
          </w:tcPr>
          <w:p>
            <w:pPr>
              <w:spacing w:after="0" w:line="240" w:lineRule="auto"/>
            </w:pPr>
            <w:r/>
            <w:r>
              <w:rPr>
                <w:rFonts w:ascii="Arial" w:hAnsi="Arial"/>
                <w:sz w:val="16"/>
              </w:rPr>
              <w:t>Carriers need complete shipment details before deciding whether to bid.</w:t>
            </w:r>
          </w:p>
        </w:tc>
        <w:tc>
          <w:tcPr>
            <w:tcW w:type="dxa" w:w="1928"/>
            <w:tcMar>
              <w:top w:w="45" w:type="dxa"/>
              <w:start w:w="55" w:type="dxa"/>
              <w:bottom w:w="45" w:type="dxa"/>
              <w:end w:w="55" w:type="dxa"/>
            </w:tcMar>
            <w:vAlign w:val="top"/>
          </w:tcPr>
          <w:p>
            <w:pPr>
              <w:spacing w:after="0" w:line="240" w:lineRule="auto"/>
            </w:pPr>
            <w:r/>
            <w:r>
              <w:rPr>
                <w:rFonts w:ascii="Arial" w:hAnsi="Arial"/>
                <w:sz w:val="16"/>
              </w:rPr>
            </w:r>
          </w:p>
        </w:tc>
      </w:tr>
      <w:tr>
        <w:trPr>
          <w:cantSplit/>
        </w:trPr>
        <w:tc>
          <w:tcPr>
            <w:tcW w:type="dxa" w:w="709"/>
            <w:tcMar>
              <w:top w:w="45" w:type="dxa"/>
              <w:start w:w="55" w:type="dxa"/>
              <w:bottom w:w="45" w:type="dxa"/>
              <w:end w:w="55" w:type="dxa"/>
            </w:tcMar>
            <w:vAlign w:val="center"/>
          </w:tcPr>
          <w:p>
            <w:pPr>
              <w:spacing w:after="0" w:line="240" w:lineRule="auto"/>
              <w:jc w:val="center"/>
            </w:pPr>
            <w:r/>
            <w:r>
              <w:rPr>
                <w:rFonts w:ascii="Arial" w:hAnsi="Arial"/>
                <w:sz w:val="16"/>
              </w:rPr>
              <w:t>FR-003</w:t>
            </w:r>
          </w:p>
        </w:tc>
        <w:tc>
          <w:tcPr>
            <w:tcW w:type="dxa" w:w="992"/>
            <w:tcMar>
              <w:top w:w="45" w:type="dxa"/>
              <w:start w:w="55" w:type="dxa"/>
              <w:bottom w:w="45" w:type="dxa"/>
              <w:end w:w="55" w:type="dxa"/>
            </w:tcMar>
            <w:vAlign w:val="center"/>
          </w:tcPr>
          <w:p>
            <w:pPr>
              <w:spacing w:after="0" w:line="240" w:lineRule="auto"/>
              <w:jc w:val="center"/>
            </w:pPr>
            <w:r/>
            <w:r>
              <w:rPr>
                <w:rFonts w:ascii="Arial" w:hAnsi="Arial"/>
                <w:sz w:val="16"/>
              </w:rPr>
              <w:t>Functional</w:t>
            </w:r>
          </w:p>
        </w:tc>
        <w:tc>
          <w:tcPr>
            <w:tcW w:type="dxa" w:w="3543"/>
            <w:tcMar>
              <w:top w:w="45" w:type="dxa"/>
              <w:start w:w="55" w:type="dxa"/>
              <w:bottom w:w="45" w:type="dxa"/>
              <w:end w:w="55" w:type="dxa"/>
            </w:tcMar>
            <w:vAlign w:val="top"/>
          </w:tcPr>
          <w:p>
            <w:pPr>
              <w:spacing w:after="0" w:line="240" w:lineRule="auto"/>
            </w:pPr>
            <w:r/>
            <w:r>
              <w:rPr>
                <w:rFonts w:ascii="Arial" w:hAnsi="Arial"/>
                <w:sz w:val="16"/>
              </w:rPr>
              <w:t>The system shall allow a shipper to review submitted bids and award a load to exactly one carrier before the auction deadline. If no bid is awarded, the system shall automatically close the auction as unawarded at the deadline.</w:t>
            </w:r>
          </w:p>
        </w:tc>
        <w:tc>
          <w:tcPr>
            <w:tcW w:type="dxa" w:w="765"/>
            <w:tcMar>
              <w:top w:w="45" w:type="dxa"/>
              <w:start w:w="55" w:type="dxa"/>
              <w:bottom w:w="45" w:type="dxa"/>
              <w:end w:w="55" w:type="dxa"/>
            </w:tcMar>
            <w:vAlign w:val="center"/>
          </w:tcPr>
          <w:p>
            <w:pPr>
              <w:spacing w:after="0" w:line="240" w:lineRule="auto"/>
              <w:jc w:val="center"/>
            </w:pPr>
            <w:r/>
            <w:r>
              <w:rPr>
                <w:rFonts w:ascii="Arial" w:hAnsi="Arial"/>
                <w:sz w:val="16"/>
              </w:rPr>
              <w:t>High</w:t>
            </w:r>
          </w:p>
        </w:tc>
        <w:tc>
          <w:tcPr>
            <w:tcW w:type="dxa" w:w="3969"/>
            <w:tcMar>
              <w:top w:w="45" w:type="dxa"/>
              <w:start w:w="55" w:type="dxa"/>
              <w:bottom w:w="45" w:type="dxa"/>
              <w:end w:w="55" w:type="dxa"/>
            </w:tcMar>
            <w:vAlign w:val="top"/>
          </w:tcPr>
          <w:p>
            <w:pPr>
              <w:spacing w:after="0" w:line="240" w:lineRule="auto"/>
            </w:pPr>
            <w:r/>
            <w:r>
              <w:rPr>
                <w:rFonts w:ascii="Arial" w:hAnsi="Arial"/>
                <w:sz w:val="16"/>
              </w:rPr>
              <w:t>Pass: selecting 'Award Bid' before the deadline locks the auction, notifies the winning and losing carriers, and sets the load status to 'Awarded'. If no bid is selected, the auction closes automatically at the deadline as 'Closed - Unawarded'.</w:t>
            </w:r>
          </w:p>
          <w:p>
            <w:pPr>
              <w:spacing w:after="0" w:line="240" w:lineRule="auto"/>
            </w:pPr>
            <w:r>
              <w:rPr>
                <w:rFonts w:ascii="Arial" w:hAnsi="Arial"/>
                <w:sz w:val="16"/>
              </w:rPr>
              <w:t>Fail: more than one carrier is awarded the same load, or an unawarded auction remains open after its deadline.</w:t>
            </w:r>
          </w:p>
        </w:tc>
        <w:tc>
          <w:tcPr>
            <w:tcW w:type="dxa" w:w="2268"/>
            <w:tcMar>
              <w:top w:w="45" w:type="dxa"/>
              <w:start w:w="55" w:type="dxa"/>
              <w:bottom w:w="45" w:type="dxa"/>
              <w:end w:w="55" w:type="dxa"/>
            </w:tcMar>
            <w:vAlign w:val="top"/>
          </w:tcPr>
          <w:p>
            <w:pPr>
              <w:spacing w:after="0" w:line="240" w:lineRule="auto"/>
            </w:pPr>
            <w:r/>
            <w:r>
              <w:rPr>
                <w:rFonts w:ascii="Arial" w:hAnsi="Arial"/>
                <w:sz w:val="16"/>
              </w:rPr>
              <w:t>Each shipment needs one responsible carrier, and every auction must reach a clear final state.</w:t>
            </w:r>
          </w:p>
        </w:tc>
        <w:tc>
          <w:tcPr>
            <w:tcW w:type="dxa" w:w="1928"/>
            <w:tcMar>
              <w:top w:w="45" w:type="dxa"/>
              <w:start w:w="55" w:type="dxa"/>
              <w:bottom w:w="45" w:type="dxa"/>
              <w:end w:w="55" w:type="dxa"/>
            </w:tcMar>
            <w:vAlign w:val="top"/>
          </w:tcPr>
          <w:p>
            <w:pPr>
              <w:spacing w:after="0" w:line="240" w:lineRule="auto"/>
            </w:pPr>
            <w:r/>
            <w:r>
              <w:rPr>
                <w:rFonts w:ascii="Arial" w:hAnsi="Arial"/>
                <w:sz w:val="16"/>
              </w:rPr>
              <w:t>Peer review: clarified the valid unawarded outcome and automatic deadline closure.</w:t>
            </w:r>
          </w:p>
        </w:tc>
      </w:tr>
      <w:tr>
        <w:trPr>
          <w:cantSplit/>
        </w:trPr>
        <w:tc>
          <w:tcPr>
            <w:tcW w:type="dxa" w:w="709"/>
            <w:tcMar>
              <w:top w:w="45" w:type="dxa"/>
              <w:start w:w="55" w:type="dxa"/>
              <w:bottom w:w="45" w:type="dxa"/>
              <w:end w:w="55" w:type="dxa"/>
            </w:tcMar>
            <w:vAlign w:val="center"/>
          </w:tcPr>
          <w:p>
            <w:pPr>
              <w:spacing w:after="0" w:line="240" w:lineRule="auto"/>
              <w:jc w:val="center"/>
            </w:pPr>
            <w:r/>
            <w:r>
              <w:rPr>
                <w:rFonts w:ascii="Arial" w:hAnsi="Arial"/>
                <w:sz w:val="16"/>
              </w:rPr>
              <w:t>FR-004</w:t>
            </w:r>
          </w:p>
        </w:tc>
        <w:tc>
          <w:tcPr>
            <w:tcW w:type="dxa" w:w="992"/>
            <w:tcMar>
              <w:top w:w="45" w:type="dxa"/>
              <w:start w:w="55" w:type="dxa"/>
              <w:bottom w:w="45" w:type="dxa"/>
              <w:end w:w="55" w:type="dxa"/>
            </w:tcMar>
            <w:vAlign w:val="center"/>
          </w:tcPr>
          <w:p>
            <w:pPr>
              <w:spacing w:after="0" w:line="240" w:lineRule="auto"/>
              <w:jc w:val="center"/>
            </w:pPr>
            <w:r/>
            <w:r>
              <w:rPr>
                <w:rFonts w:ascii="Arial" w:hAnsi="Arial"/>
                <w:sz w:val="16"/>
              </w:rPr>
              <w:t>Functional</w:t>
            </w:r>
          </w:p>
        </w:tc>
        <w:tc>
          <w:tcPr>
            <w:tcW w:type="dxa" w:w="3543"/>
            <w:tcMar>
              <w:top w:w="45" w:type="dxa"/>
              <w:start w:w="55" w:type="dxa"/>
              <w:bottom w:w="45" w:type="dxa"/>
              <w:end w:w="55" w:type="dxa"/>
            </w:tcMar>
            <w:vAlign w:val="top"/>
          </w:tcPr>
          <w:p>
            <w:pPr>
              <w:spacing w:after="0" w:line="240" w:lineRule="auto"/>
            </w:pPr>
            <w:r/>
            <w:r>
              <w:rPr>
                <w:rFonts w:ascii="Arial" w:hAnsi="Arial"/>
                <w:sz w:val="16"/>
              </w:rPr>
              <w:t>The system shall allow the awarded carrier to submit an electronic proof of delivery (e-POD) containing a digital signature, timestamp, and GPS geo-tag after completing delivery.</w:t>
            </w:r>
          </w:p>
        </w:tc>
        <w:tc>
          <w:tcPr>
            <w:tcW w:type="dxa" w:w="765"/>
            <w:tcMar>
              <w:top w:w="45" w:type="dxa"/>
              <w:start w:w="55" w:type="dxa"/>
              <w:bottom w:w="45" w:type="dxa"/>
              <w:end w:w="55" w:type="dxa"/>
            </w:tcMar>
            <w:vAlign w:val="center"/>
          </w:tcPr>
          <w:p>
            <w:pPr>
              <w:spacing w:after="0" w:line="240" w:lineRule="auto"/>
              <w:jc w:val="center"/>
            </w:pPr>
            <w:r/>
            <w:r>
              <w:rPr>
                <w:rFonts w:ascii="Arial" w:hAnsi="Arial"/>
                <w:sz w:val="16"/>
              </w:rPr>
              <w:t>High</w:t>
            </w:r>
          </w:p>
        </w:tc>
        <w:tc>
          <w:tcPr>
            <w:tcW w:type="dxa" w:w="3969"/>
            <w:tcMar>
              <w:top w:w="45" w:type="dxa"/>
              <w:start w:w="55" w:type="dxa"/>
              <w:bottom w:w="45" w:type="dxa"/>
              <w:end w:w="55" w:type="dxa"/>
            </w:tcMar>
            <w:vAlign w:val="top"/>
          </w:tcPr>
          <w:p>
            <w:pPr>
              <w:spacing w:after="0" w:line="240" w:lineRule="auto"/>
            </w:pPr>
            <w:r/>
            <w:r>
              <w:rPr>
                <w:rFonts w:ascii="Arial" w:hAnsi="Arial"/>
                <w:sz w:val="16"/>
              </w:rPr>
              <w:t>Pass: the awarded carrier submits an e-POD containing all three required components; it is recorded and the shipment status changes to 'Delivered - Pending Verification'.</w:t>
            </w:r>
          </w:p>
          <w:p>
            <w:pPr>
              <w:spacing w:after="0" w:line="240" w:lineRule="auto"/>
            </w:pPr>
            <w:r>
              <w:rPr>
                <w:rFonts w:ascii="Arial" w:hAnsi="Arial"/>
                <w:sz w:val="16"/>
              </w:rPr>
              <w:t>Fail: a non-awarded carrier can submit the e-POD, or an e-POD missing any required component is accepted.</w:t>
            </w:r>
          </w:p>
        </w:tc>
        <w:tc>
          <w:tcPr>
            <w:tcW w:type="dxa" w:w="2268"/>
            <w:tcMar>
              <w:top w:w="45" w:type="dxa"/>
              <w:start w:w="55" w:type="dxa"/>
              <w:bottom w:w="45" w:type="dxa"/>
              <w:end w:w="55" w:type="dxa"/>
            </w:tcMar>
            <w:vAlign w:val="top"/>
          </w:tcPr>
          <w:p>
            <w:pPr>
              <w:spacing w:after="0" w:line="240" w:lineRule="auto"/>
            </w:pPr>
            <w:r/>
            <w:r>
              <w:rPr>
                <w:rFonts w:ascii="Arial" w:hAnsi="Arial"/>
                <w:sz w:val="16"/>
              </w:rPr>
              <w:t>A complete e-POD from the awarded carrier is required before delivery can be verified and payment can be released.</w:t>
            </w:r>
          </w:p>
        </w:tc>
        <w:tc>
          <w:tcPr>
            <w:tcW w:type="dxa" w:w="1928"/>
            <w:tcMar>
              <w:top w:w="45" w:type="dxa"/>
              <w:start w:w="55" w:type="dxa"/>
              <w:bottom w:w="45" w:type="dxa"/>
              <w:end w:w="55" w:type="dxa"/>
            </w:tcMar>
            <w:vAlign w:val="top"/>
          </w:tcPr>
          <w:p>
            <w:pPr>
              <w:spacing w:after="0" w:line="240" w:lineRule="auto"/>
            </w:pPr>
            <w:r/>
            <w:r>
              <w:rPr>
                <w:rFonts w:ascii="Arial" w:hAnsi="Arial"/>
                <w:sz w:val="16"/>
              </w:rPr>
            </w:r>
          </w:p>
        </w:tc>
      </w:tr>
    </w:tbl>
    <w:p>
      <w:r>
        <w:br w:type="page"/>
      </w:r>
    </w:p>
    <w:p>
      <w:pPr>
        <w:spacing w:after="40"/>
        <w:jc w:val="center"/>
      </w:pPr>
      <w:r>
        <w:rPr>
          <w:b/>
          <w:sz w:val="26"/>
        </w:rPr>
        <w:t>Lab 1: Requirements Table (continued)</w:t>
      </w:r>
    </w:p>
    <w:p>
      <w:pPr>
        <w:spacing w:after="80"/>
        <w:jc w:val="center"/>
      </w:pPr>
      <w:r>
        <w:rPr>
          <w:b/>
          <w:sz w:val="18"/>
        </w:rPr>
        <w:t>Name: Varshini A   |   SRN: PES1UG24CS517   |   Problem: #28</w:t>
      </w:r>
    </w:p>
    <w:tbl>
      <w:tblPr>
        <w:tblStyle w:val="TableGrid"/>
        <w:tblW w:type="auto" w:w="0"/>
        <w:jc w:val="center"/>
        <w:tblLook w:firstColumn="1" w:firstRow="1" w:lastColumn="0" w:lastRow="0" w:noHBand="0" w:noVBand="1" w:val="04A0"/>
      </w:tblPr>
      <w:tblGrid>
        <w:gridCol w:w="2292"/>
        <w:gridCol w:w="2292"/>
        <w:gridCol w:w="2292"/>
        <w:gridCol w:w="2292"/>
        <w:gridCol w:w="2292"/>
        <w:gridCol w:w="2292"/>
        <w:gridCol w:w="2292"/>
      </w:tblGrid>
      <w:tr>
        <w:trPr>
          <w:tblHeader w:val="true"/>
        </w:trPr>
        <w:tc>
          <w:tcPr>
            <w:tcW w:type="dxa" w:w="2292"/>
            <w:vAlign w:val="center"/>
            <w:shd w:fill="D9D9D9"/>
            <w:tcMar>
              <w:top w:w="45" w:type="dxa"/>
              <w:start w:w="55" w:type="dxa"/>
              <w:bottom w:w="45" w:type="dxa"/>
              <w:end w:w="55" w:type="dxa"/>
            </w:tcMar>
          </w:tcPr>
          <w:p>
            <w:pPr>
              <w:jc w:val="center"/>
            </w:pPr>
            <w:r>
              <w:rPr>
                <w:rFonts w:ascii="Arial" w:hAnsi="Arial"/>
                <w:b/>
                <w:sz w:val="16"/>
              </w:rPr>
              <w:t>Req ID</w:t>
            </w:r>
          </w:p>
        </w:tc>
        <w:tc>
          <w:tcPr>
            <w:tcW w:type="dxa" w:w="2292"/>
            <w:vAlign w:val="center"/>
            <w:shd w:fill="D9D9D9"/>
            <w:tcMar>
              <w:top w:w="45" w:type="dxa"/>
              <w:start w:w="55" w:type="dxa"/>
              <w:bottom w:w="45" w:type="dxa"/>
              <w:end w:w="55" w:type="dxa"/>
            </w:tcMar>
          </w:tcPr>
          <w:p>
            <w:pPr>
              <w:jc w:val="center"/>
            </w:pPr>
            <w:r>
              <w:rPr>
                <w:rFonts w:ascii="Arial" w:hAnsi="Arial"/>
                <w:b/>
                <w:sz w:val="16"/>
              </w:rPr>
              <w:t>Type</w:t>
            </w:r>
          </w:p>
        </w:tc>
        <w:tc>
          <w:tcPr>
            <w:tcW w:type="dxa" w:w="2292"/>
            <w:vAlign w:val="center"/>
            <w:shd w:fill="D9D9D9"/>
            <w:tcMar>
              <w:top w:w="45" w:type="dxa"/>
              <w:start w:w="55" w:type="dxa"/>
              <w:bottom w:w="45" w:type="dxa"/>
              <w:end w:w="55" w:type="dxa"/>
            </w:tcMar>
          </w:tcPr>
          <w:p>
            <w:pPr>
              <w:jc w:val="center"/>
            </w:pPr>
            <w:r>
              <w:rPr>
                <w:rFonts w:ascii="Arial" w:hAnsi="Arial"/>
                <w:b/>
                <w:sz w:val="16"/>
              </w:rPr>
              <w:t>Description</w:t>
            </w:r>
          </w:p>
        </w:tc>
        <w:tc>
          <w:tcPr>
            <w:tcW w:type="dxa" w:w="2292"/>
            <w:vAlign w:val="center"/>
            <w:shd w:fill="D9D9D9"/>
            <w:tcMar>
              <w:top w:w="45" w:type="dxa"/>
              <w:start w:w="55" w:type="dxa"/>
              <w:bottom w:w="45" w:type="dxa"/>
              <w:end w:w="55" w:type="dxa"/>
            </w:tcMar>
          </w:tcPr>
          <w:p>
            <w:pPr>
              <w:jc w:val="center"/>
            </w:pPr>
            <w:r>
              <w:rPr>
                <w:rFonts w:ascii="Arial" w:hAnsi="Arial"/>
                <w:b/>
                <w:sz w:val="16"/>
              </w:rPr>
              <w:t>Priority</w:t>
            </w:r>
          </w:p>
        </w:tc>
        <w:tc>
          <w:tcPr>
            <w:tcW w:type="dxa" w:w="2292"/>
            <w:vAlign w:val="center"/>
            <w:shd w:fill="D9D9D9"/>
            <w:tcMar>
              <w:top w:w="45" w:type="dxa"/>
              <w:start w:w="55" w:type="dxa"/>
              <w:bottom w:w="45" w:type="dxa"/>
              <w:end w:w="55" w:type="dxa"/>
            </w:tcMar>
          </w:tcPr>
          <w:p>
            <w:pPr>
              <w:jc w:val="center"/>
            </w:pPr>
            <w:r>
              <w:rPr>
                <w:rFonts w:ascii="Arial" w:hAnsi="Arial"/>
                <w:b/>
                <w:sz w:val="16"/>
              </w:rPr>
              <w:t>Acceptance Criteria</w:t>
            </w:r>
          </w:p>
        </w:tc>
        <w:tc>
          <w:tcPr>
            <w:tcW w:type="dxa" w:w="2292"/>
            <w:vAlign w:val="center"/>
            <w:shd w:fill="D9D9D9"/>
            <w:tcMar>
              <w:top w:w="45" w:type="dxa"/>
              <w:start w:w="55" w:type="dxa"/>
              <w:bottom w:w="45" w:type="dxa"/>
              <w:end w:w="55" w:type="dxa"/>
            </w:tcMar>
          </w:tcPr>
          <w:p>
            <w:pPr>
              <w:jc w:val="center"/>
            </w:pPr>
            <w:r>
              <w:rPr>
                <w:rFonts w:ascii="Arial" w:hAnsi="Arial"/>
                <w:b/>
                <w:sz w:val="16"/>
              </w:rPr>
              <w:t>Rationale</w:t>
            </w:r>
          </w:p>
        </w:tc>
        <w:tc>
          <w:tcPr>
            <w:tcW w:type="dxa" w:w="2292"/>
            <w:vAlign w:val="center"/>
            <w:shd w:fill="D9D9D9"/>
            <w:tcMar>
              <w:top w:w="45" w:type="dxa"/>
              <w:start w:w="55" w:type="dxa"/>
              <w:bottom w:w="45" w:type="dxa"/>
              <w:end w:w="55" w:type="dxa"/>
            </w:tcMar>
          </w:tcPr>
          <w:p>
            <w:pPr>
              <w:jc w:val="center"/>
            </w:pPr>
            <w:r>
              <w:rPr>
                <w:rFonts w:ascii="Arial" w:hAnsi="Arial"/>
                <w:b/>
                <w:sz w:val="16"/>
              </w:rPr>
              <w:t>Comments</w:t>
            </w:r>
          </w:p>
        </w:tc>
      </w:tr>
      <w:tr>
        <w:trPr>
          <w:cantSplit/>
        </w:trPr>
        <w:tc>
          <w:tcPr>
            <w:tcW w:type="dxa" w:w="709"/>
            <w:tcMar>
              <w:top w:w="45" w:type="dxa"/>
              <w:start w:w="55" w:type="dxa"/>
              <w:bottom w:w="45" w:type="dxa"/>
              <w:end w:w="55" w:type="dxa"/>
            </w:tcMar>
            <w:vAlign w:val="center"/>
          </w:tcPr>
          <w:p>
            <w:pPr>
              <w:spacing w:after="0" w:line="240" w:lineRule="auto"/>
              <w:jc w:val="center"/>
            </w:pPr>
            <w:r/>
            <w:r>
              <w:rPr>
                <w:rFonts w:ascii="Arial" w:hAnsi="Arial"/>
                <w:sz w:val="16"/>
              </w:rPr>
              <w:t>FR-005</w:t>
            </w:r>
          </w:p>
        </w:tc>
        <w:tc>
          <w:tcPr>
            <w:tcW w:type="dxa" w:w="992"/>
            <w:tcMar>
              <w:top w:w="45" w:type="dxa"/>
              <w:start w:w="55" w:type="dxa"/>
              <w:bottom w:w="45" w:type="dxa"/>
              <w:end w:w="55" w:type="dxa"/>
            </w:tcMar>
            <w:vAlign w:val="center"/>
          </w:tcPr>
          <w:p>
            <w:pPr>
              <w:spacing w:after="0" w:line="240" w:lineRule="auto"/>
              <w:jc w:val="center"/>
            </w:pPr>
            <w:r/>
            <w:r>
              <w:rPr>
                <w:rFonts w:ascii="Arial" w:hAnsi="Arial"/>
                <w:sz w:val="16"/>
              </w:rPr>
              <w:t>Functional</w:t>
            </w:r>
          </w:p>
        </w:tc>
        <w:tc>
          <w:tcPr>
            <w:tcW w:type="dxa" w:w="3543"/>
            <w:tcMar>
              <w:top w:w="45" w:type="dxa"/>
              <w:start w:w="55" w:type="dxa"/>
              <w:bottom w:w="45" w:type="dxa"/>
              <w:end w:w="55" w:type="dxa"/>
            </w:tcMar>
            <w:vAlign w:val="top"/>
          </w:tcPr>
          <w:p>
            <w:pPr>
              <w:spacing w:after="0" w:line="240" w:lineRule="auto"/>
            </w:pPr>
            <w:r/>
            <w:r>
              <w:rPr>
                <w:rFonts w:ascii="Arial" w:hAnsi="Arial"/>
                <w:sz w:val="16"/>
              </w:rPr>
              <w:t>The system shall allow shippers and carriers to view the current status of any load they are associated with, including 'Posted', 'Awarded', 'In Transit', 'Delivered - Pending Verification', 'Delivered - Payment Released', 'Payment Release Failed - Manual Review', and 'Closed - Unawarded'.</w:t>
            </w:r>
          </w:p>
        </w:tc>
        <w:tc>
          <w:tcPr>
            <w:tcW w:type="dxa" w:w="765"/>
            <w:tcMar>
              <w:top w:w="45" w:type="dxa"/>
              <w:start w:w="55" w:type="dxa"/>
              <w:bottom w:w="45" w:type="dxa"/>
              <w:end w:w="55" w:type="dxa"/>
            </w:tcMar>
            <w:vAlign w:val="center"/>
          </w:tcPr>
          <w:p>
            <w:pPr>
              <w:spacing w:after="0" w:line="240" w:lineRule="auto"/>
              <w:jc w:val="center"/>
            </w:pPr>
            <w:r/>
            <w:r>
              <w:rPr>
                <w:rFonts w:ascii="Arial" w:hAnsi="Arial"/>
                <w:sz w:val="16"/>
              </w:rPr>
              <w:t>Medium</w:t>
            </w:r>
          </w:p>
        </w:tc>
        <w:tc>
          <w:tcPr>
            <w:tcW w:type="dxa" w:w="3969"/>
            <w:tcMar>
              <w:top w:w="45" w:type="dxa"/>
              <w:start w:w="55" w:type="dxa"/>
              <w:bottom w:w="45" w:type="dxa"/>
              <w:end w:w="55" w:type="dxa"/>
            </w:tcMar>
            <w:vAlign w:val="top"/>
          </w:tcPr>
          <w:p>
            <w:pPr>
              <w:spacing w:after="0" w:line="240" w:lineRule="auto"/>
            </w:pPr>
            <w:r/>
            <w:r>
              <w:rPr>
                <w:rFonts w:ascii="Arial" w:hAnsi="Arial"/>
                <w:sz w:val="16"/>
              </w:rPr>
              <w:t>Pass: an associated shipper or carrier can view the load status, and the displayed status matches the backend state within 15 seconds of a status change.</w:t>
            </w:r>
          </w:p>
          <w:p>
            <w:pPr>
              <w:spacing w:after="0" w:line="240" w:lineRule="auto"/>
            </w:pPr>
            <w:r>
              <w:rPr>
                <w:rFonts w:ascii="Arial" w:hAnsi="Arial"/>
                <w:sz w:val="16"/>
              </w:rPr>
              <w:t>Fail: an unrelated user can view the load, or the displayed status is more than 15 seconds out of date.</w:t>
            </w:r>
          </w:p>
        </w:tc>
        <w:tc>
          <w:tcPr>
            <w:tcW w:type="dxa" w:w="2268"/>
            <w:tcMar>
              <w:top w:w="45" w:type="dxa"/>
              <w:start w:w="55" w:type="dxa"/>
              <w:bottom w:w="45" w:type="dxa"/>
              <w:end w:w="55" w:type="dxa"/>
            </w:tcMar>
            <w:vAlign w:val="top"/>
          </w:tcPr>
          <w:p>
            <w:pPr>
              <w:spacing w:after="0" w:line="240" w:lineRule="auto"/>
            </w:pPr>
            <w:r/>
            <w:r>
              <w:rPr>
                <w:rFonts w:ascii="Arial" w:hAnsi="Arial"/>
                <w:sz w:val="16"/>
              </w:rPr>
              <w:t>Status visibility reduces uncertainty while restricting shipment information to involved parties.</w:t>
            </w:r>
          </w:p>
        </w:tc>
        <w:tc>
          <w:tcPr>
            <w:tcW w:type="dxa" w:w="1928"/>
            <w:tcMar>
              <w:top w:w="45" w:type="dxa"/>
              <w:start w:w="55" w:type="dxa"/>
              <w:bottom w:w="45" w:type="dxa"/>
              <w:end w:w="55" w:type="dxa"/>
            </w:tcMar>
            <w:vAlign w:val="top"/>
          </w:tcPr>
          <w:p>
            <w:pPr>
              <w:spacing w:after="0" w:line="240" w:lineRule="auto"/>
            </w:pPr>
            <w:r/>
            <w:r>
              <w:rPr>
                <w:rFonts w:ascii="Arial" w:hAnsi="Arial"/>
                <w:sz w:val="16"/>
              </w:rPr>
            </w:r>
          </w:p>
        </w:tc>
      </w:tr>
      <w:tr>
        <w:trPr>
          <w:cantSplit/>
        </w:trPr>
        <w:tc>
          <w:tcPr>
            <w:tcW w:type="dxa" w:w="709"/>
            <w:tcMar>
              <w:top w:w="45" w:type="dxa"/>
              <w:start w:w="55" w:type="dxa"/>
              <w:bottom w:w="45" w:type="dxa"/>
              <w:end w:w="55" w:type="dxa"/>
            </w:tcMar>
            <w:vAlign w:val="center"/>
          </w:tcPr>
          <w:p>
            <w:pPr>
              <w:spacing w:after="0" w:line="240" w:lineRule="auto"/>
              <w:jc w:val="center"/>
            </w:pPr>
            <w:r/>
            <w:r>
              <w:rPr>
                <w:rFonts w:ascii="Arial" w:hAnsi="Arial"/>
                <w:sz w:val="16"/>
              </w:rPr>
              <w:t>NFR-001</w:t>
            </w:r>
          </w:p>
        </w:tc>
        <w:tc>
          <w:tcPr>
            <w:tcW w:type="dxa" w:w="992"/>
            <w:tcMar>
              <w:top w:w="45" w:type="dxa"/>
              <w:start w:w="55" w:type="dxa"/>
              <w:bottom w:w="45" w:type="dxa"/>
              <w:end w:w="55" w:type="dxa"/>
            </w:tcMar>
            <w:vAlign w:val="center"/>
          </w:tcPr>
          <w:p>
            <w:pPr>
              <w:spacing w:after="0" w:line="240" w:lineRule="auto"/>
              <w:jc w:val="center"/>
            </w:pPr>
            <w:r/>
            <w:r>
              <w:rPr>
                <w:rFonts w:ascii="Arial" w:hAnsi="Arial"/>
                <w:sz w:val="16"/>
              </w:rPr>
              <w:t>Nonfunctional</w:t>
            </w:r>
          </w:p>
        </w:tc>
        <w:tc>
          <w:tcPr>
            <w:tcW w:type="dxa" w:w="3543"/>
            <w:tcMar>
              <w:top w:w="45" w:type="dxa"/>
              <w:start w:w="55" w:type="dxa"/>
              <w:bottom w:w="45" w:type="dxa"/>
              <w:end w:w="55" w:type="dxa"/>
            </w:tcMar>
            <w:vAlign w:val="top"/>
          </w:tcPr>
          <w:p>
            <w:pPr>
              <w:spacing w:after="0" w:line="240" w:lineRule="auto"/>
            </w:pPr>
            <w:r/>
            <w:r>
              <w:rPr>
                <w:rFonts w:ascii="Arial" w:hAnsi="Arial"/>
                <w:sz w:val="16"/>
              </w:rPr>
              <w:t>The system shall automatically disburse milestone payments held in escrow to the carrier within 60 seconds of a verified electronic proof-of-delivery submission, and payment-release communication with the Payment Gateway shall be encrypted.</w:t>
            </w:r>
          </w:p>
        </w:tc>
        <w:tc>
          <w:tcPr>
            <w:tcW w:type="dxa" w:w="765"/>
            <w:tcMar>
              <w:top w:w="45" w:type="dxa"/>
              <w:start w:w="55" w:type="dxa"/>
              <w:bottom w:w="45" w:type="dxa"/>
              <w:end w:w="55" w:type="dxa"/>
            </w:tcMar>
            <w:vAlign w:val="center"/>
          </w:tcPr>
          <w:p>
            <w:pPr>
              <w:spacing w:after="0" w:line="240" w:lineRule="auto"/>
              <w:jc w:val="center"/>
            </w:pPr>
            <w:r/>
            <w:r>
              <w:rPr>
                <w:rFonts w:ascii="Arial" w:hAnsi="Arial"/>
                <w:sz w:val="16"/>
              </w:rPr>
              <w:t>High</w:t>
            </w:r>
          </w:p>
        </w:tc>
        <w:tc>
          <w:tcPr>
            <w:tcW w:type="dxa" w:w="3969"/>
            <w:tcMar>
              <w:top w:w="45" w:type="dxa"/>
              <w:start w:w="55" w:type="dxa"/>
              <w:bottom w:w="45" w:type="dxa"/>
              <w:end w:w="55" w:type="dxa"/>
            </w:tcMar>
            <w:vAlign w:val="top"/>
          </w:tcPr>
          <w:p>
            <w:pPr>
              <w:spacing w:after="0" w:line="240" w:lineRule="auto"/>
            </w:pPr>
            <w:r/>
            <w:r>
              <w:rPr>
                <w:rFonts w:ascii="Arial" w:hAnsi="Arial"/>
                <w:sz w:val="16"/>
              </w:rPr>
              <w:t>Pass: under simulated peak load, a verified e-POD results in payment disbursement within 60 seconds of its submission and Payment Gateway communication is encrypted.</w:t>
            </w:r>
          </w:p>
          <w:p>
            <w:pPr>
              <w:spacing w:after="0" w:line="240" w:lineRule="auto"/>
            </w:pPr>
            <w:r>
              <w:rPr>
                <w:rFonts w:ascii="Arial" w:hAnsi="Arial"/>
                <w:sz w:val="16"/>
              </w:rPr>
              <w:t>Fail: payment takes longer than 60 seconds, or Payment Gateway communication is not encrypted.</w:t>
            </w:r>
          </w:p>
        </w:tc>
        <w:tc>
          <w:tcPr>
            <w:tcW w:type="dxa" w:w="2268"/>
            <w:tcMar>
              <w:top w:w="45" w:type="dxa"/>
              <w:start w:w="55" w:type="dxa"/>
              <w:bottom w:w="45" w:type="dxa"/>
              <w:end w:w="55" w:type="dxa"/>
            </w:tcMar>
            <w:vAlign w:val="top"/>
          </w:tcPr>
          <w:p>
            <w:pPr>
              <w:spacing w:after="0" w:line="240" w:lineRule="auto"/>
            </w:pPr>
            <w:r/>
            <w:r>
              <w:rPr>
                <w:rFonts w:ascii="Arial" w:hAnsi="Arial"/>
                <w:sz w:val="16"/>
              </w:rPr>
              <w:t>Fast, secure payout is important to carrier trust and protects payment data.</w:t>
            </w:r>
          </w:p>
        </w:tc>
        <w:tc>
          <w:tcPr>
            <w:tcW w:type="dxa" w:w="1928"/>
            <w:tcMar>
              <w:top w:w="45" w:type="dxa"/>
              <w:start w:w="55" w:type="dxa"/>
              <w:bottom w:w="45" w:type="dxa"/>
              <w:end w:w="55" w:type="dxa"/>
            </w:tcMar>
            <w:vAlign w:val="top"/>
          </w:tcPr>
          <w:p>
            <w:pPr>
              <w:spacing w:after="0" w:line="240" w:lineRule="auto"/>
            </w:pPr>
            <w:r/>
            <w:r>
              <w:rPr>
                <w:rFonts w:ascii="Arial" w:hAnsi="Arial"/>
                <w:sz w:val="16"/>
              </w:rPr>
            </w:r>
          </w:p>
        </w:tc>
      </w:tr>
      <w:tr>
        <w:trPr>
          <w:cantSplit/>
        </w:trPr>
        <w:tc>
          <w:tcPr>
            <w:tcW w:type="dxa" w:w="709"/>
            <w:tcMar>
              <w:top w:w="45" w:type="dxa"/>
              <w:start w:w="55" w:type="dxa"/>
              <w:bottom w:w="45" w:type="dxa"/>
              <w:end w:w="55" w:type="dxa"/>
            </w:tcMar>
            <w:vAlign w:val="center"/>
          </w:tcPr>
          <w:p>
            <w:pPr>
              <w:spacing w:after="0" w:line="240" w:lineRule="auto"/>
              <w:jc w:val="center"/>
            </w:pPr>
            <w:r/>
            <w:r>
              <w:rPr>
                <w:rFonts w:ascii="Arial" w:hAnsi="Arial"/>
                <w:sz w:val="16"/>
              </w:rPr>
              <w:t>NFR-002</w:t>
            </w:r>
          </w:p>
        </w:tc>
        <w:tc>
          <w:tcPr>
            <w:tcW w:type="dxa" w:w="992"/>
            <w:tcMar>
              <w:top w:w="45" w:type="dxa"/>
              <w:start w:w="55" w:type="dxa"/>
              <w:bottom w:w="45" w:type="dxa"/>
              <w:end w:w="55" w:type="dxa"/>
            </w:tcMar>
            <w:vAlign w:val="center"/>
          </w:tcPr>
          <w:p>
            <w:pPr>
              <w:spacing w:after="0" w:line="240" w:lineRule="auto"/>
              <w:jc w:val="center"/>
            </w:pPr>
            <w:r/>
            <w:r>
              <w:rPr>
                <w:rFonts w:ascii="Arial" w:hAnsi="Arial"/>
                <w:sz w:val="16"/>
              </w:rPr>
              <w:t>Nonfunctional</w:t>
            </w:r>
          </w:p>
        </w:tc>
        <w:tc>
          <w:tcPr>
            <w:tcW w:type="dxa" w:w="3543"/>
            <w:tcMar>
              <w:top w:w="45" w:type="dxa"/>
              <w:start w:w="55" w:type="dxa"/>
              <w:bottom w:w="45" w:type="dxa"/>
              <w:end w:w="55" w:type="dxa"/>
            </w:tcMar>
            <w:vAlign w:val="top"/>
          </w:tcPr>
          <w:p>
            <w:pPr>
              <w:spacing w:after="0" w:line="240" w:lineRule="auto"/>
            </w:pPr>
            <w:r/>
            <w:r>
              <w:rPr>
                <w:rFonts w:ascii="Arial" w:hAnsi="Arial"/>
                <w:sz w:val="16"/>
              </w:rPr>
              <w:t>The system shall maintain at least 99.9% availability for load posting, bidding, and shipment tracking over each calendar month.</w:t>
            </w:r>
          </w:p>
        </w:tc>
        <w:tc>
          <w:tcPr>
            <w:tcW w:type="dxa" w:w="765"/>
            <w:tcMar>
              <w:top w:w="45" w:type="dxa"/>
              <w:start w:w="55" w:type="dxa"/>
              <w:bottom w:w="45" w:type="dxa"/>
              <w:end w:w="55" w:type="dxa"/>
            </w:tcMar>
            <w:vAlign w:val="center"/>
          </w:tcPr>
          <w:p>
            <w:pPr>
              <w:spacing w:after="0" w:line="240" w:lineRule="auto"/>
              <w:jc w:val="center"/>
            </w:pPr>
            <w:r/>
            <w:r>
              <w:rPr>
                <w:rFonts w:ascii="Arial" w:hAnsi="Arial"/>
                <w:sz w:val="16"/>
              </w:rPr>
              <w:t>Medium</w:t>
            </w:r>
          </w:p>
        </w:tc>
        <w:tc>
          <w:tcPr>
            <w:tcW w:type="dxa" w:w="3969"/>
            <w:tcMar>
              <w:top w:w="45" w:type="dxa"/>
              <w:start w:w="55" w:type="dxa"/>
              <w:bottom w:w="45" w:type="dxa"/>
              <w:end w:w="55" w:type="dxa"/>
            </w:tcMar>
            <w:vAlign w:val="top"/>
          </w:tcPr>
          <w:p>
            <w:pPr>
              <w:spacing w:after="0" w:line="240" w:lineRule="auto"/>
            </w:pPr>
            <w:r/>
            <w:r>
              <w:rPr>
                <w:rFonts w:ascii="Arial" w:hAnsi="Arial"/>
                <w:sz w:val="16"/>
              </w:rPr>
              <w:t>Pass: monthly availability logs show at least 99.9% uptime for load posting, bidding, and shipment tracking.</w:t>
            </w:r>
          </w:p>
          <w:p>
            <w:pPr>
              <w:spacing w:after="0" w:line="240" w:lineRule="auto"/>
            </w:pPr>
            <w:r>
              <w:rPr>
                <w:rFonts w:ascii="Arial" w:hAnsi="Arial"/>
                <w:sz w:val="16"/>
              </w:rPr>
              <w:t>Fail: monthly availability for any of those services is below 99.9%.</w:t>
            </w:r>
          </w:p>
        </w:tc>
        <w:tc>
          <w:tcPr>
            <w:tcW w:type="dxa" w:w="2268"/>
            <w:tcMar>
              <w:top w:w="45" w:type="dxa"/>
              <w:start w:w="55" w:type="dxa"/>
              <w:bottom w:w="45" w:type="dxa"/>
              <w:end w:w="55" w:type="dxa"/>
            </w:tcMar>
            <w:vAlign w:val="top"/>
          </w:tcPr>
          <w:p>
            <w:pPr>
              <w:spacing w:after="0" w:line="240" w:lineRule="auto"/>
            </w:pPr>
            <w:r/>
            <w:r>
              <w:rPr>
                <w:rFonts w:ascii="Arial" w:hAnsi="Arial"/>
                <w:sz w:val="16"/>
              </w:rPr>
              <w:t>High availability helps prevent missed bids and interruptions to active shipments.</w:t>
            </w:r>
          </w:p>
        </w:tc>
        <w:tc>
          <w:tcPr>
            <w:tcW w:type="dxa" w:w="1928"/>
            <w:tcMar>
              <w:top w:w="45" w:type="dxa"/>
              <w:start w:w="55" w:type="dxa"/>
              <w:bottom w:w="45" w:type="dxa"/>
              <w:end w:w="55" w:type="dxa"/>
            </w:tcMar>
            <w:vAlign w:val="top"/>
          </w:tcPr>
          <w:p>
            <w:pPr>
              <w:spacing w:after="0" w:line="240" w:lineRule="auto"/>
            </w:pPr>
            <w:r/>
            <w:r>
              <w:rPr>
                <w:rFonts w:ascii="Arial" w:hAnsi="Arial"/>
                <w:sz w:val="16"/>
              </w:rPr>
            </w:r>
          </w:p>
        </w:tc>
      </w:tr>
    </w:tbl>
    <w:sectPr w:rsidR="00FC693F" w:rsidRPr="0006063C" w:rsidSect="00034616">
      <w:pgSz w:w="16838" w:h="11906" w:orient="landscape"/>
      <w:pgMar w:top="397" w:right="397" w:bottom="397"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Requirements Table - Problem 28</dc:title>
  <dc:subject>Software Engineering - Requirements Engineering</dc:subject>
  <dc:creator>Varshini A</dc:creator>
  <cp:keywords/>
  <dc:description/>
  <cp:lastModifiedBy>Varshini A</cp:lastModifiedBy>
  <cp:revision>1</cp:revision>
  <dcterms:created xsi:type="dcterms:W3CDTF">2026-09-01T14:50:00Z</dcterms:created>
  <dcterms:modified xsi:type="dcterms:W3CDTF">2026-09-01T14:50:00Z</dcterms:modified>
  <cp:category/>
</cp:coreProperties>
</file>