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sz w:val="30"/>
          <w:szCs w:val="30"/>
        </w:rPr>
        <w:t xml:space="preserve">Lab 3: Architectural Pattern Justification</w:t>
      </w:r>
    </w:p>
    <w:p>
      <w:pPr>
        <w:pBdr>
          <w:bottom w:val="single" w:sz="8" w:space="4"/>
        </w:pBdr>
        <w:spacing w:after="120"/>
      </w:pPr>
      <w:r>
        <w:rPr>
          <w:rFonts w:ascii="Arial" w:cs="Arial" w:eastAsia="Arial" w:hAnsi="Arial"/>
          <w:sz w:val="17"/>
          <w:szCs w:val="17"/>
        </w:rPr>
        <w:t xml:space="preserve">Varshini A  |  PES1UG24CS517  |  Problem Statement #28: Inter-City Freight Load Matching Marketplace</w:t>
      </w:r>
    </w:p>
    <w:p>
      <w:pPr>
        <w:spacing w:after="110"/>
      </w:pPr>
      <w:r>
        <w:rPr>
          <w:rFonts w:ascii="Arial" w:cs="Arial" w:eastAsia="Arial" w:hAnsi="Arial"/>
          <w:b/>
          <w:bCs/>
          <w:sz w:val="22"/>
          <w:szCs w:val="22"/>
        </w:rPr>
        <w:t xml:space="preserve">Architecture Selection: We chose Microservices Architecture for the Inter-City Freight Load Matching Marketplace System.</w:t>
      </w:r>
    </w:p>
    <w:p>
      <w:pPr>
        <w:spacing w:after="130" w:line="264"/>
      </w:pPr>
      <w:r>
        <w:rPr>
          <w:rFonts w:ascii="Arial" w:cs="Arial" w:eastAsia="Arial" w:hAnsi="Arial"/>
          <w:b/>
          <w:bCs/>
          <w:sz w:val="21"/>
          <w:szCs w:val="21"/>
        </w:rPr>
        <w:t xml:space="preserve">Architectural Choice: </w:t>
      </w:r>
      <w:r>
        <w:rPr>
          <w:rFonts w:ascii="Arial" w:cs="Arial" w:eastAsia="Arial" w:hAnsi="Arial"/>
          <w:sz w:val="21"/>
          <w:szCs w:val="21"/>
        </w:rPr>
        <w:t xml:space="preserve">Microservices. The marketplace is split into independently deployable services (Identity &amp; Verification, Load Posting, Bidding &amp; Matching, Proof-of-Delivery, Payment &amp; Escrow, Notification) behind an API Gateway. Each stateful service owns its datastore and communicates only through the provided/required interfaces in the component diagram. Scoring the three styles against what this system needs: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600"/>
        <w:gridCol w:w="2600"/>
      </w:tblGrid>
      <w:tr>
        <w:trPr>
          <w:tblHeader/>
        </w:trPr>
        <w:tc>
          <w:tcPr>
            <w:tcW w:type="dxa" w:w="23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Criterion (this scenario)</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Layered</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Client-Server</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Microservices (selected)</w:t>
            </w:r>
          </w:p>
        </w:tc>
      </w:tr>
      <w:tr>
        <w:tc>
          <w:tcPr>
            <w:tcW w:type="dxa" w:w="23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Scaling for auction bid spikes</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Poor</w:t>
            </w:r>
            <w:r>
              <w:rPr>
                <w:rFonts w:ascii="Arial" w:cs="Arial" w:eastAsia="Arial" w:hAnsi="Arial"/>
                <w:sz w:val="18"/>
                <w:szCs w:val="18"/>
              </w:rPr>
              <w:t xml:space="preserve">: whole stack scales as one unit</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Poor</w:t>
            </w:r>
            <w:r>
              <w:rPr>
                <w:rFonts w:ascii="Arial" w:cs="Arial" w:eastAsia="Arial" w:hAnsi="Arial"/>
                <w:sz w:val="18"/>
                <w:szCs w:val="18"/>
              </w:rPr>
              <w:t xml:space="preserve">: one central server is the bottleneck</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Good</w:t>
            </w:r>
            <w:r>
              <w:rPr>
                <w:rFonts w:ascii="Arial" w:cs="Arial" w:eastAsia="Arial" w:hAnsi="Arial"/>
                <w:sz w:val="18"/>
                <w:szCs w:val="18"/>
              </w:rPr>
              <w:t xml:space="preserve">: scale only Bidding &amp; Matching</w:t>
            </w:r>
          </w:p>
        </w:tc>
      </w:tr>
      <w:tr>
        <w:tc>
          <w:tcPr>
            <w:tcW w:type="dxa" w:w="23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Fault isolation (payments must survive other failures)</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Poor</w:t>
            </w:r>
            <w:r>
              <w:rPr>
                <w:rFonts w:ascii="Arial" w:cs="Arial" w:eastAsia="Arial" w:hAnsi="Arial"/>
                <w:sz w:val="18"/>
                <w:szCs w:val="18"/>
              </w:rPr>
              <w:t xml:space="preserve">: a fault in one layer can stall all</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Poor</w:t>
            </w:r>
            <w:r>
              <w:rPr>
                <w:rFonts w:ascii="Arial" w:cs="Arial" w:eastAsia="Arial" w:hAnsi="Arial"/>
                <w:sz w:val="18"/>
                <w:szCs w:val="18"/>
              </w:rPr>
              <w:t xml:space="preserve">: single point of failure</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Good</w:t>
            </w:r>
            <w:r>
              <w:rPr>
                <w:rFonts w:ascii="Arial" w:cs="Arial" w:eastAsia="Arial" w:hAnsi="Arial"/>
                <w:sz w:val="18"/>
                <w:szCs w:val="18"/>
              </w:rPr>
              <w:t xml:space="preserve">: failures stay inside one service</w:t>
            </w:r>
          </w:p>
        </w:tc>
      </w:tr>
      <w:tr>
        <w:tc>
          <w:tcPr>
            <w:tcW w:type="dxa" w:w="23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Security isolation of payment data</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Fair</w:t>
            </w:r>
            <w:r>
              <w:rPr>
                <w:rFonts w:ascii="Arial" w:cs="Arial" w:eastAsia="Arial" w:hAnsi="Arial"/>
                <w:sz w:val="18"/>
                <w:szCs w:val="18"/>
              </w:rPr>
              <w:t xml:space="preserve">: shared codebase and database</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Fair</w:t>
            </w:r>
            <w:r>
              <w:rPr>
                <w:rFonts w:ascii="Arial" w:cs="Arial" w:eastAsia="Arial" w:hAnsi="Arial"/>
                <w:sz w:val="18"/>
                <w:szCs w:val="18"/>
              </w:rPr>
              <w:t xml:space="preserve">: one trust zone on one server</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Good</w:t>
            </w:r>
            <w:r>
              <w:rPr>
                <w:rFonts w:ascii="Arial" w:cs="Arial" w:eastAsia="Arial" w:hAnsi="Arial"/>
                <w:sz w:val="18"/>
                <w:szCs w:val="18"/>
              </w:rPr>
              <w:t xml:space="preserve">: own service, ledger DB and credentials</w:t>
            </w:r>
          </w:p>
        </w:tc>
      </w:tr>
      <w:tr>
        <w:tc>
          <w:tcPr>
            <w:tcW w:type="dxa" w:w="23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Data consistency</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Good</w:t>
            </w:r>
            <w:r>
              <w:rPr>
                <w:rFonts w:ascii="Arial" w:cs="Arial" w:eastAsia="Arial" w:hAnsi="Arial"/>
                <w:sz w:val="18"/>
                <w:szCs w:val="18"/>
              </w:rPr>
              <w:t xml:space="preserve">: single database</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Good</w:t>
            </w:r>
            <w:r>
              <w:rPr>
                <w:rFonts w:ascii="Arial" w:cs="Arial" w:eastAsia="Arial" w:hAnsi="Arial"/>
                <w:sz w:val="18"/>
                <w:szCs w:val="18"/>
              </w:rPr>
              <w:t xml:space="preserve">: central database</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Fair</w:t>
            </w:r>
            <w:r>
              <w:rPr>
                <w:rFonts w:ascii="Arial" w:cs="Arial" w:eastAsia="Arial" w:hAnsi="Arial"/>
                <w:sz w:val="18"/>
                <w:szCs w:val="18"/>
              </w:rPr>
              <w:t xml:space="preserve">: distributed; needs idempotent calls</w:t>
            </w:r>
          </w:p>
        </w:tc>
      </w:tr>
      <w:tr>
        <w:tc>
          <w:tcPr>
            <w:tcW w:type="dxa" w:w="23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Simplicity to build and operate</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Good</w:t>
            </w:r>
            <w:r>
              <w:rPr>
                <w:rFonts w:ascii="Arial" w:cs="Arial" w:eastAsia="Arial" w:hAnsi="Arial"/>
                <w:sz w:val="18"/>
                <w:szCs w:val="18"/>
              </w:rPr>
              <w:t xml:space="preserve">: familiar and simple</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Good</w:t>
            </w:r>
            <w:r>
              <w:rPr>
                <w:rFonts w:ascii="Arial" w:cs="Arial" w:eastAsia="Arial" w:hAnsi="Arial"/>
                <w:sz w:val="18"/>
                <w:szCs w:val="18"/>
              </w:rPr>
              <w:t xml:space="preserve">: simplest to deploy</w:t>
            </w:r>
          </w:p>
        </w:tc>
        <w:tc>
          <w:tcPr>
            <w:tcW w:type="dxa" w:w="2600"/>
            <w:tcBorders>
              <w:top w:val="single" w:sz="4"/>
              <w:left w:val="single" w:sz="4"/>
              <w:bottom w:val="single" w:sz="4"/>
              <w:right w:val="single" w:sz="4"/>
            </w:tcBorders>
            <w:tcMar>
              <w:top w:type="dxa" w:w="45"/>
              <w:left w:type="dxa" w:w="90"/>
              <w:bottom w:type="dxa" w:w="45"/>
              <w:right w:type="dxa" w:w="90"/>
            </w:tcMar>
          </w:tcPr>
          <w:p>
            <w:pPr>
              <w:spacing w:after="0"/>
            </w:pPr>
            <w:r>
              <w:rPr>
                <w:rFonts w:ascii="Arial" w:cs="Arial" w:eastAsia="Arial" w:hAnsi="Arial"/>
                <w:b/>
                <w:bCs/>
                <w:sz w:val="18"/>
                <w:szCs w:val="18"/>
              </w:rPr>
              <w:t xml:space="preserve">Poor</w:t>
            </w:r>
            <w:r>
              <w:rPr>
                <w:rFonts w:ascii="Arial" w:cs="Arial" w:eastAsia="Arial" w:hAnsi="Arial"/>
                <w:sz w:val="18"/>
                <w:szCs w:val="18"/>
              </w:rPr>
              <w:t xml:space="preserve">: more services and DevOps effort</w:t>
            </w:r>
          </w:p>
        </w:tc>
      </w:tr>
    </w:tbl>
    <w:p>
      <w:pPr>
        <w:spacing w:after="130" w:before="100"/>
      </w:pPr>
      <w:r>
        <w:rPr>
          <w:rFonts w:ascii="Arial" w:cs="Arial" w:eastAsia="Arial" w:hAnsi="Arial"/>
          <w:b/>
          <w:bCs/>
          <w:sz w:val="21"/>
          <w:szCs w:val="21"/>
        </w:rPr>
        <w:t xml:space="preserve">Verdict: </w:t>
      </w:r>
      <w:r>
        <w:rPr>
          <w:rFonts w:ascii="Arial" w:cs="Arial" w:eastAsia="Arial" w:hAnsi="Arial"/>
          <w:sz w:val="21"/>
          <w:szCs w:val="21"/>
        </w:rPr>
        <w:t xml:space="preserve">Microservices wins on the three criteria that matter most here (scaling, fault isolation, payment security). Its costs, operational effort and distributed consistency, are accepted and managed with an API Gateway, asynchronous notification calls and idempotent payment calls.</w:t>
      </w:r>
    </w:p>
    <w:p>
      <w:pPr>
        <w:spacing w:after="130" w:line="264"/>
      </w:pPr>
      <w:r>
        <w:rPr>
          <w:rFonts w:ascii="Arial" w:cs="Arial" w:eastAsia="Arial" w:hAnsi="Arial"/>
          <w:b/>
          <w:bCs/>
          <w:sz w:val="21"/>
          <w:szCs w:val="21"/>
        </w:rPr>
        <w:t xml:space="preserve">Reason 1: Bursty, uneven load. </w:t>
      </w:r>
      <w:r>
        <w:rPr>
          <w:rFonts w:ascii="Arial" w:cs="Arial" w:eastAsia="Arial" w:hAnsi="Arial"/>
          <w:sz w:val="21"/>
          <w:szCs w:val="21"/>
        </w:rPr>
        <w:t xml:space="preserve">Auction windows cause sharp spikes in bid traffic on popular lanes, while payment and proof-of-delivery volumes stay low. Only the Bidding &amp; Matching Service needs to be scaled out during a rush, instead of replicating the whole application (Layered) or overloading one central server (Client-Server).</w:t>
      </w:r>
    </w:p>
    <w:p>
      <w:pPr>
        <w:spacing w:after="130" w:line="264"/>
      </w:pPr>
      <w:r>
        <w:rPr>
          <w:rFonts w:ascii="Arial" w:cs="Arial" w:eastAsia="Arial" w:hAnsi="Arial"/>
          <w:b/>
          <w:bCs/>
          <w:sz w:val="21"/>
          <w:szCs w:val="21"/>
        </w:rPr>
        <w:t xml:space="preserve">Reason 2: Fault isolation and independent change. </w:t>
      </w:r>
      <w:r>
        <w:rPr>
          <w:rFonts w:ascii="Arial" w:cs="Arial" w:eastAsia="Arial" w:hAnsi="Arial"/>
          <w:sz w:val="21"/>
          <w:szCs w:val="21"/>
        </w:rPr>
        <w:t xml:space="preserve">Carrier permit rules, bidding logic and the bank/escrow integration change at different rates and can be deployed separately. A failure in load search or notifications must never block milestone payment after proof-of-delivery sign-off, and a failure inside one service stays contained instead of taking down the marketplace.</w:t>
      </w:r>
    </w:p>
    <w:p>
      <w:pPr>
        <w:spacing w:after="130" w:line="264"/>
      </w:pPr>
      <w:r>
        <w:rPr>
          <w:rFonts w:ascii="Arial" w:cs="Arial" w:eastAsia="Arial" w:hAnsi="Arial"/>
          <w:b/>
          <w:bCs/>
          <w:sz w:val="21"/>
          <w:szCs w:val="21"/>
        </w:rPr>
        <w:t xml:space="preserve">Security Advantage: </w:t>
      </w:r>
      <w:r>
        <w:rPr>
          <w:rFonts w:ascii="Arial" w:cs="Arial" w:eastAsia="Arial" w:hAnsi="Arial"/>
          <w:sz w:val="21"/>
          <w:szCs w:val="21"/>
        </w:rPr>
        <w:t xml:space="preserve">Payment isolation with least privilege. Only the Payment &amp; Escrow Service holds the bank API credentials and its own ledger database, and it is reachable only through its three published interfaces (IEscrowFunding, IMilestoneRelease and IPaymentStatus, the last one behind the gateway's JWT check). A compromise of a less critical service such as Load Posting therefore cannot expose funds or financial records.</w:t>
      </w:r>
    </w:p>
    <w:p>
      <w:pPr>
        <w:spacing w:after="130" w:line="264"/>
      </w:pPr>
      <w:r>
        <w:rPr>
          <w:rFonts w:ascii="Arial" w:cs="Arial" w:eastAsia="Arial" w:hAnsi="Arial"/>
          <w:b/>
          <w:bCs/>
          <w:sz w:val="21"/>
          <w:szCs w:val="21"/>
        </w:rPr>
        <w:t xml:space="preserve">Performance Benefit: </w:t>
      </w:r>
      <w:r>
        <w:rPr>
          <w:rFonts w:ascii="Arial" w:cs="Arial" w:eastAsia="Arial" w:hAnsi="Arial"/>
          <w:sz w:val="21"/>
          <w:szCs w:val="21"/>
        </w:rPr>
        <w:t xml:space="preserve">A short critical path for payments. Notifications are sent as non-blocking asynchronous calls, so the path from proof-of-delivery submission to fund release is only Proof-of-Delivery → Payment &amp; Escrow → bank API. Bid surges and slow notifications cannot delay it. This is how the design is meant to meet the problem statement's 60-second escrow-release target (to be confirmed with a load test).</w:t>
      </w:r>
    </w:p>
    <w:sectPr>
      <w:pgSz w:w="11906" w:h="16838" w:orient="portrait"/>
      <w:pgMar w:top="85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Architectural Pattern Justification</dc:title>
  <dc:creator>Varshini A (PES1UG24CS517)</dc:creator>
  <dc:description>Microservices - Inter-City Freight Load Matching Marketplace</dc:description>
  <cp:lastModifiedBy>Un-named</cp:lastModifiedBy>
  <cp:revision>1</cp:revision>
  <dcterms:created xsi:type="dcterms:W3CDTF">2026-10-05T03:45:36.966Z</dcterms:created>
  <dcterms:modified xsi:type="dcterms:W3CDTF">2026-10-05T03:45:36.966Z</dcterms:modified>
</cp:coreProperties>
</file>

<file path=docProps/custom.xml><?xml version="1.0" encoding="utf-8"?>
<Properties xmlns="http://schemas.openxmlformats.org/officeDocument/2006/custom-properties" xmlns:vt="http://schemas.openxmlformats.org/officeDocument/2006/docPropsVTypes"/>
</file>