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Test Case Catalogue and STP Update</w:t>
      </w:r>
    </w:p>
    <w:p>
      <w:pPr>
        <w:jc w:val="center"/>
      </w:pPr>
      <w:r>
        <w:rPr>
          <w:sz w:val="26"/>
        </w:rPr>
        <w:t>Pocket Packet Sniffer — Test Case Supplement</w:t>
      </w:r>
    </w:p>
    <w:p>
      <w:pPr>
        <w:jc w:val="center"/>
      </w:pPr>
      <w:r>
        <w:rPr>
          <w:sz w:val="18"/>
        </w:rPr>
        <w:t>Course: Software Engineering (UE24CS341A) — PES University</w:t>
      </w:r>
    </w:p>
    <w:p>
      <w:pPr>
        <w:jc w:val="center"/>
      </w:pPr>
      <w:r>
        <w:rPr>
          <w:sz w:val="18"/>
        </w:rPr>
        <w:t>Version 1.0 | October 2026 | Status: Prepared for review</w:t>
      </w:r>
    </w:p>
    <w:p>
      <w:pPr>
        <w:jc w:val="center"/>
      </w:pPr>
      <w:r>
        <w:rPr>
          <w:sz w:val="18"/>
        </w:rPr>
        <w:t>Team: Ritu Ravish, Vishal Prasath, Tejaswini R Pujar, Varshini A</w:t>
      </w:r>
    </w:p>
    <w:p/>
    <w:p>
      <w:pPr>
        <w:pStyle w:val="Heading1"/>
      </w:pPr>
      <w:r>
        <w:t>Purpose and status</w:t>
      </w:r>
    </w:p>
    <w:p>
      <w:r>
        <w:t>This is the test-case update for the Software Test Plan. Cases are derived from the supplied SRS and designed to cover functional, performance, security, usability and deployment requirements. All cases are marked Not Run because no execution logs or test results were supplied. Do not change a status to Pass without attaching evidence.</w:t>
      </w:r>
    </w:p>
    <w:p>
      <w:pPr>
        <w:pStyle w:val="Heading1"/>
      </w:pPr>
      <w:r>
        <w:t>Execution status definitions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D9D9"/>
          </w:tcPr>
          <w:p>
            <w:pPr>
              <w:spacing w:after="0"/>
            </w:pPr>
            <w:r/>
            <w:r>
              <w:rPr>
                <w:b/>
                <w:sz w:val="15"/>
              </w:rPr>
              <w:t>Status</w:t>
            </w:r>
          </w:p>
        </w:tc>
        <w:tc>
          <w:tcPr>
            <w:tcW w:type="dxa" w:w="5112"/>
            <w:vAlign w:val="center"/>
            <w:shd w:fill="D9D9D9"/>
          </w:tcPr>
          <w:p>
            <w:pPr>
              <w:spacing w:after="0"/>
            </w:pPr>
            <w:r/>
            <w:r>
              <w:rPr>
                <w:b/>
                <w:sz w:val="15"/>
              </w:rPr>
              <w:t>Meaning</w:t>
            </w:r>
          </w:p>
        </w:tc>
      </w:tr>
      <w:tr>
        <w:tc>
          <w:tcPr>
            <w:tcW w:type="dxa" w:w="5112"/>
            <w:vAlign w:val="center"/>
          </w:tcPr>
          <w:p>
            <w:pPr>
              <w:spacing w:after="0"/>
            </w:pPr>
            <w:r/>
            <w:r>
              <w:rPr>
                <w:b w:val="0"/>
                <w:sz w:val="15"/>
              </w:rPr>
              <w:t>Not Run</w:t>
            </w:r>
          </w:p>
        </w:tc>
        <w:tc>
          <w:tcPr>
            <w:tcW w:type="dxa" w:w="5112"/>
            <w:vAlign w:val="center"/>
          </w:tcPr>
          <w:p>
            <w:pPr>
              <w:spacing w:after="0"/>
            </w:pPr>
            <w:r/>
            <w:r>
              <w:rPr>
                <w:b w:val="0"/>
                <w:sz w:val="15"/>
              </w:rPr>
              <w:t>Case designed; execution evidence not yet recorded.</w:t>
            </w:r>
          </w:p>
        </w:tc>
      </w:tr>
      <w:tr>
        <w:tc>
          <w:tcPr>
            <w:tcW w:type="dxa" w:w="5112"/>
            <w:vAlign w:val="center"/>
          </w:tcPr>
          <w:p>
            <w:pPr>
              <w:spacing w:after="0"/>
            </w:pPr>
            <w:r/>
            <w:r>
              <w:rPr>
                <w:b w:val="0"/>
                <w:sz w:val="15"/>
              </w:rPr>
              <w:t>Pass</w:t>
            </w:r>
          </w:p>
        </w:tc>
        <w:tc>
          <w:tcPr>
            <w:tcW w:type="dxa" w:w="5112"/>
            <w:vAlign w:val="center"/>
          </w:tcPr>
          <w:p>
            <w:pPr>
              <w:spacing w:after="0"/>
            </w:pPr>
            <w:r/>
            <w:r>
              <w:rPr>
                <w:b w:val="0"/>
                <w:sz w:val="15"/>
              </w:rPr>
              <w:t>Expected result observed and evidence attached.</w:t>
            </w:r>
          </w:p>
        </w:tc>
      </w:tr>
      <w:tr>
        <w:tc>
          <w:tcPr>
            <w:tcW w:type="dxa" w:w="5112"/>
            <w:vAlign w:val="center"/>
          </w:tcPr>
          <w:p>
            <w:pPr>
              <w:spacing w:after="0"/>
            </w:pPr>
            <w:r/>
            <w:r>
              <w:rPr>
                <w:b w:val="0"/>
                <w:sz w:val="15"/>
              </w:rPr>
              <w:t>Fail</w:t>
            </w:r>
          </w:p>
        </w:tc>
        <w:tc>
          <w:tcPr>
            <w:tcW w:type="dxa" w:w="5112"/>
            <w:vAlign w:val="center"/>
          </w:tcPr>
          <w:p>
            <w:pPr>
              <w:spacing w:after="0"/>
            </w:pPr>
            <w:r/>
            <w:r>
              <w:rPr>
                <w:b w:val="0"/>
                <w:sz w:val="15"/>
              </w:rPr>
              <w:t>Observed result differs from expected result; defect recorded.</w:t>
            </w:r>
          </w:p>
        </w:tc>
      </w:tr>
      <w:tr>
        <w:tc>
          <w:tcPr>
            <w:tcW w:type="dxa" w:w="5112"/>
            <w:vAlign w:val="center"/>
          </w:tcPr>
          <w:p>
            <w:pPr>
              <w:spacing w:after="0"/>
            </w:pPr>
            <w:r/>
            <w:r>
              <w:rPr>
                <w:b w:val="0"/>
                <w:sz w:val="15"/>
              </w:rPr>
              <w:t>Blocked</w:t>
            </w:r>
          </w:p>
        </w:tc>
        <w:tc>
          <w:tcPr>
            <w:tcW w:type="dxa" w:w="5112"/>
            <w:vAlign w:val="center"/>
          </w:tcPr>
          <w:p>
            <w:pPr>
              <w:spacing w:after="0"/>
            </w:pPr>
            <w:r/>
            <w:r>
              <w:rPr>
                <w:b w:val="0"/>
                <w:sz w:val="15"/>
              </w:rPr>
              <w:t>Cannot execute due to missing build, hardware, permissions or dependency.</w:t>
            </w:r>
          </w:p>
        </w:tc>
      </w:tr>
    </w:tbl>
    <w:p/>
    <w:p>
      <w:pPr>
        <w:pStyle w:val="Heading1"/>
      </w:pPr>
      <w:r>
        <w:t>Test cases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D9D9"/>
          </w:tcPr>
          <w:p>
            <w:pPr>
              <w:spacing w:after="0"/>
            </w:pPr>
            <w:r/>
            <w:r>
              <w:rPr>
                <w:b/>
                <w:sz w:val="12"/>
              </w:rPr>
              <w:t>TC ID</w:t>
            </w:r>
          </w:p>
        </w:tc>
        <w:tc>
          <w:tcPr>
            <w:tcW w:type="dxa" w:w="1461"/>
            <w:vAlign w:val="center"/>
            <w:shd w:fill="D9D9D9"/>
          </w:tcPr>
          <w:p>
            <w:pPr>
              <w:spacing w:after="0"/>
            </w:pPr>
            <w:r/>
            <w:r>
              <w:rPr>
                <w:b/>
                <w:sz w:val="12"/>
              </w:rPr>
              <w:t>SRS traceability</w:t>
            </w:r>
          </w:p>
        </w:tc>
        <w:tc>
          <w:tcPr>
            <w:tcW w:type="dxa" w:w="1461"/>
            <w:vAlign w:val="center"/>
            <w:shd w:fill="D9D9D9"/>
          </w:tcPr>
          <w:p>
            <w:pPr>
              <w:spacing w:after="0"/>
            </w:pPr>
            <w:r/>
            <w:r>
              <w:rPr>
                <w:b/>
                <w:sz w:val="12"/>
              </w:rPr>
              <w:t>Test objective</w:t>
            </w:r>
          </w:p>
        </w:tc>
        <w:tc>
          <w:tcPr>
            <w:tcW w:type="dxa" w:w="1461"/>
            <w:vAlign w:val="center"/>
            <w:shd w:fill="D9D9D9"/>
          </w:tcPr>
          <w:p>
            <w:pPr>
              <w:spacing w:after="0"/>
            </w:pPr>
            <w:r/>
            <w:r>
              <w:rPr>
                <w:b/>
                <w:sz w:val="12"/>
              </w:rPr>
              <w:t>Preconditions</w:t>
            </w:r>
          </w:p>
        </w:tc>
        <w:tc>
          <w:tcPr>
            <w:tcW w:type="dxa" w:w="1461"/>
            <w:vAlign w:val="center"/>
            <w:shd w:fill="D9D9D9"/>
          </w:tcPr>
          <w:p>
            <w:pPr>
              <w:spacing w:after="0"/>
            </w:pPr>
            <w:r/>
            <w:r>
              <w:rPr>
                <w:b/>
                <w:sz w:val="12"/>
              </w:rPr>
              <w:t>Steps</w:t>
            </w:r>
          </w:p>
        </w:tc>
        <w:tc>
          <w:tcPr>
            <w:tcW w:type="dxa" w:w="1461"/>
            <w:vAlign w:val="center"/>
            <w:shd w:fill="D9D9D9"/>
          </w:tcPr>
          <w:p>
            <w:pPr>
              <w:spacing w:after="0"/>
            </w:pPr>
            <w:r/>
            <w:r>
              <w:rPr>
                <w:b/>
                <w:sz w:val="12"/>
              </w:rPr>
              <w:t>Expected result</w:t>
            </w:r>
          </w:p>
        </w:tc>
        <w:tc>
          <w:tcPr>
            <w:tcW w:type="dxa" w:w="1461"/>
            <w:vAlign w:val="center"/>
            <w:shd w:fill="D9D9D9"/>
          </w:tcPr>
          <w:p>
            <w:pPr>
              <w:spacing w:after="0"/>
            </w:pPr>
            <w:r/>
            <w:r>
              <w:rPr>
                <w:b/>
                <w:sz w:val="12"/>
              </w:rPr>
              <w:t>Status</w:t>
            </w:r>
          </w:p>
        </w:tc>
      </w:tr>
      <w:tr>
        <w:tc>
          <w:tcPr>
            <w:tcW w:type="dxa" w:w="1461"/>
            <w:vAlign w:val="center"/>
          </w:tcPr>
          <w:p>
            <w:pPr>
              <w:spacing w:after="0"/>
            </w:pPr>
            <w:r/>
            <w:r>
              <w:rPr>
                <w:b w:val="0"/>
                <w:sz w:val="12"/>
              </w:rPr>
              <w:t>TC-F1-01</w:t>
            </w:r>
          </w:p>
        </w:tc>
        <w:tc>
          <w:tcPr>
            <w:tcW w:type="dxa" w:w="1461"/>
            <w:vAlign w:val="center"/>
          </w:tcPr>
          <w:p>
            <w:pPr>
              <w:spacing w:after="0"/>
            </w:pPr>
            <w:r/>
            <w:r>
              <w:rPr>
                <w:b w:val="0"/>
                <w:sz w:val="12"/>
              </w:rPr>
              <w:t>REQ-F1-01</w:t>
            </w:r>
          </w:p>
        </w:tc>
        <w:tc>
          <w:tcPr>
            <w:tcW w:type="dxa" w:w="1461"/>
            <w:vAlign w:val="center"/>
          </w:tcPr>
          <w:p>
            <w:pPr>
              <w:spacing w:after="0"/>
            </w:pPr>
            <w:r/>
            <w:r>
              <w:rPr>
                <w:b w:val="0"/>
                <w:sz w:val="12"/>
              </w:rPr>
              <w:t>Ethernet promiscuous capture</w:t>
            </w:r>
          </w:p>
        </w:tc>
        <w:tc>
          <w:tcPr>
            <w:tcW w:type="dxa" w:w="1461"/>
            <w:vAlign w:val="center"/>
          </w:tcPr>
          <w:p>
            <w:pPr>
              <w:spacing w:after="0"/>
            </w:pPr>
            <w:r/>
            <w:r>
              <w:rPr>
                <w:b w:val="0"/>
                <w:sz w:val="12"/>
              </w:rPr>
              <w:t>Supported interface and authorised lab traffic available</w:t>
            </w:r>
          </w:p>
        </w:tc>
        <w:tc>
          <w:tcPr>
            <w:tcW w:type="dxa" w:w="1461"/>
            <w:vAlign w:val="center"/>
          </w:tcPr>
          <w:p>
            <w:pPr>
              <w:spacing w:after="0"/>
            </w:pPr>
            <w:r/>
            <w:r>
              <w:rPr>
                <w:b w:val="0"/>
                <w:sz w:val="12"/>
              </w:rPr>
              <w:t>Start capture on eth0; generate frames addressed to another host; inspect capture output.</w:t>
            </w:r>
          </w:p>
        </w:tc>
        <w:tc>
          <w:tcPr>
            <w:tcW w:type="dxa" w:w="1461"/>
            <w:vAlign w:val="center"/>
          </w:tcPr>
          <w:p>
            <w:pPr>
              <w:spacing w:after="0"/>
            </w:pPr>
            <w:r/>
            <w:r>
              <w:rPr>
                <w:b w:val="0"/>
                <w:sz w:val="12"/>
              </w:rPr>
              <w:t>Frames visible regardless of destination MAC; interface and timestamps populated.</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TC-F1-02</w:t>
            </w:r>
          </w:p>
        </w:tc>
        <w:tc>
          <w:tcPr>
            <w:tcW w:type="dxa" w:w="1461"/>
            <w:vAlign w:val="center"/>
          </w:tcPr>
          <w:p>
            <w:pPr>
              <w:spacing w:after="0"/>
            </w:pPr>
            <w:r/>
            <w:r>
              <w:rPr>
                <w:b w:val="0"/>
                <w:sz w:val="12"/>
              </w:rPr>
              <w:t>REQ-F1-02</w:t>
            </w:r>
          </w:p>
        </w:tc>
        <w:tc>
          <w:tcPr>
            <w:tcW w:type="dxa" w:w="1461"/>
            <w:vAlign w:val="center"/>
          </w:tcPr>
          <w:p>
            <w:pPr>
              <w:spacing w:after="0"/>
            </w:pPr>
            <w:r/>
            <w:r>
              <w:rPr>
                <w:b w:val="0"/>
                <w:sz w:val="12"/>
              </w:rPr>
              <w:t>Wi-Fi channel hopping</w:t>
            </w:r>
          </w:p>
        </w:tc>
        <w:tc>
          <w:tcPr>
            <w:tcW w:type="dxa" w:w="1461"/>
            <w:vAlign w:val="center"/>
          </w:tcPr>
          <w:p>
            <w:pPr>
              <w:spacing w:after="0"/>
            </w:pPr>
            <w:r/>
            <w:r>
              <w:rPr>
                <w:b w:val="0"/>
                <w:sz w:val="12"/>
              </w:rPr>
              <w:t>Monitor-mode-capable adapter and authorised test AP</w:t>
            </w:r>
          </w:p>
        </w:tc>
        <w:tc>
          <w:tcPr>
            <w:tcW w:type="dxa" w:w="1461"/>
            <w:vAlign w:val="center"/>
          </w:tcPr>
          <w:p>
            <w:pPr>
              <w:spacing w:after="0"/>
            </w:pPr>
            <w:r/>
            <w:r>
              <w:rPr>
                <w:b w:val="0"/>
                <w:sz w:val="12"/>
              </w:rPr>
              <w:t>Enable monitor capture; observe channel state over several hop intervals.</w:t>
            </w:r>
          </w:p>
        </w:tc>
        <w:tc>
          <w:tcPr>
            <w:tcW w:type="dxa" w:w="1461"/>
            <w:vAlign w:val="center"/>
          </w:tcPr>
          <w:p>
            <w:pPr>
              <w:spacing w:after="0"/>
            </w:pPr>
            <w:r/>
            <w:r>
              <w:rPr>
                <w:b w:val="0"/>
                <w:sz w:val="12"/>
              </w:rPr>
              <w:t>Supported channels 1–13 are visited at configured interval (default 250 ms); unsupported adapter produces clear error.</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TC-F1-03</w:t>
            </w:r>
          </w:p>
        </w:tc>
        <w:tc>
          <w:tcPr>
            <w:tcW w:type="dxa" w:w="1461"/>
            <w:vAlign w:val="center"/>
          </w:tcPr>
          <w:p>
            <w:pPr>
              <w:spacing w:after="0"/>
            </w:pPr>
            <w:r/>
            <w:r>
              <w:rPr>
                <w:b w:val="0"/>
                <w:sz w:val="12"/>
              </w:rPr>
              <w:t>REQ-F1-03</w:t>
            </w:r>
          </w:p>
        </w:tc>
        <w:tc>
          <w:tcPr>
            <w:tcW w:type="dxa" w:w="1461"/>
            <w:vAlign w:val="center"/>
          </w:tcPr>
          <w:p>
            <w:pPr>
              <w:spacing w:after="0"/>
            </w:pPr>
            <w:r/>
            <w:r>
              <w:rPr>
                <w:b w:val="0"/>
                <w:sz w:val="12"/>
              </w:rPr>
              <w:t>BLE advertisement capture</w:t>
            </w:r>
          </w:p>
        </w:tc>
        <w:tc>
          <w:tcPr>
            <w:tcW w:type="dxa" w:w="1461"/>
            <w:vAlign w:val="center"/>
          </w:tcPr>
          <w:p>
            <w:pPr>
              <w:spacing w:after="0"/>
            </w:pPr>
            <w:r/>
            <w:r>
              <w:rPr>
                <w:b w:val="0"/>
                <w:sz w:val="12"/>
              </w:rPr>
              <w:t>Bluetooth HCI/BlueZ available; test beacon or fixture</w:t>
            </w:r>
          </w:p>
        </w:tc>
        <w:tc>
          <w:tcPr>
            <w:tcW w:type="dxa" w:w="1461"/>
            <w:vAlign w:val="center"/>
          </w:tcPr>
          <w:p>
            <w:pPr>
              <w:spacing w:after="0"/>
            </w:pPr>
            <w:r/>
            <w:r>
              <w:rPr>
                <w:b w:val="0"/>
                <w:sz w:val="12"/>
              </w:rPr>
              <w:t>Capture ADV_IND and ADV_NONCONN_IND advertisements.</w:t>
            </w:r>
          </w:p>
        </w:tc>
        <w:tc>
          <w:tcPr>
            <w:tcW w:type="dxa" w:w="1461"/>
            <w:vAlign w:val="center"/>
          </w:tcPr>
          <w:p>
            <w:pPr>
              <w:spacing w:after="0"/>
            </w:pPr>
            <w:r/>
            <w:r>
              <w:rPr>
                <w:b w:val="0"/>
                <w:sz w:val="12"/>
              </w:rPr>
              <w:t>Advertisement events are received and identified as BLE; absent fields remain unset.</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TC-F1-04</w:t>
            </w:r>
          </w:p>
        </w:tc>
        <w:tc>
          <w:tcPr>
            <w:tcW w:type="dxa" w:w="1461"/>
            <w:vAlign w:val="center"/>
          </w:tcPr>
          <w:p>
            <w:pPr>
              <w:spacing w:after="0"/>
            </w:pPr>
            <w:r/>
            <w:r>
              <w:rPr>
                <w:b w:val="0"/>
                <w:sz w:val="12"/>
              </w:rPr>
              <w:t>REQ-F1-04</w:t>
            </w:r>
          </w:p>
        </w:tc>
        <w:tc>
          <w:tcPr>
            <w:tcW w:type="dxa" w:w="1461"/>
            <w:vAlign w:val="center"/>
          </w:tcPr>
          <w:p>
            <w:pPr>
              <w:spacing w:after="0"/>
            </w:pPr>
            <w:r/>
            <w:r>
              <w:rPr>
                <w:b w:val="0"/>
                <w:sz w:val="12"/>
              </w:rPr>
              <w:t>ESP32 UDP ingestion</w:t>
            </w:r>
          </w:p>
        </w:tc>
        <w:tc>
          <w:tcPr>
            <w:tcW w:type="dxa" w:w="1461"/>
            <w:vAlign w:val="center"/>
          </w:tcPr>
          <w:p>
            <w:pPr>
              <w:spacing w:after="0"/>
            </w:pPr>
            <w:r/>
            <w:r>
              <w:rPr>
                <w:b w:val="0"/>
                <w:sz w:val="12"/>
              </w:rPr>
              <w:t>Probe fixture or test sender can target UDP/5555</w:t>
            </w:r>
          </w:p>
        </w:tc>
        <w:tc>
          <w:tcPr>
            <w:tcW w:type="dxa" w:w="1461"/>
            <w:vAlign w:val="center"/>
          </w:tcPr>
          <w:p>
            <w:pPr>
              <w:spacing w:after="0"/>
            </w:pPr>
            <w:r/>
            <w:r>
              <w:rPr>
                <w:b w:val="0"/>
                <w:sz w:val="12"/>
              </w:rPr>
              <w:t>Send valid probe datagram then truncated/invalid datagram.</w:t>
            </w:r>
          </w:p>
        </w:tc>
        <w:tc>
          <w:tcPr>
            <w:tcW w:type="dxa" w:w="1461"/>
            <w:vAlign w:val="center"/>
          </w:tcPr>
          <w:p>
            <w:pPr>
              <w:spacing w:after="0"/>
            </w:pPr>
            <w:r/>
            <w:r>
              <w:rPr>
                <w:b w:val="0"/>
                <w:sz w:val="12"/>
              </w:rPr>
              <w:t>Valid frame reaches capture buffer; invalid datagram is rejected safely without stopping service.</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TC-F1-05</w:t>
            </w:r>
          </w:p>
        </w:tc>
        <w:tc>
          <w:tcPr>
            <w:tcW w:type="dxa" w:w="1461"/>
            <w:vAlign w:val="center"/>
          </w:tcPr>
          <w:p>
            <w:pPr>
              <w:spacing w:after="0"/>
            </w:pPr>
            <w:r/>
            <w:r>
              <w:rPr>
                <w:b w:val="0"/>
                <w:sz w:val="12"/>
              </w:rPr>
              <w:t>REQ-F1-05</w:t>
            </w:r>
          </w:p>
        </w:tc>
        <w:tc>
          <w:tcPr>
            <w:tcW w:type="dxa" w:w="1461"/>
            <w:vAlign w:val="center"/>
          </w:tcPr>
          <w:p>
            <w:pPr>
              <w:spacing w:after="0"/>
            </w:pPr>
            <w:r/>
            <w:r>
              <w:rPr>
                <w:b w:val="0"/>
                <w:sz w:val="12"/>
              </w:rPr>
              <w:t>PCAP rotation</w:t>
            </w:r>
          </w:p>
        </w:tc>
        <w:tc>
          <w:tcPr>
            <w:tcW w:type="dxa" w:w="1461"/>
            <w:vAlign w:val="center"/>
          </w:tcPr>
          <w:p>
            <w:pPr>
              <w:spacing w:after="0"/>
            </w:pPr>
            <w:r/>
            <w:r>
              <w:rPr>
                <w:b w:val="0"/>
                <w:sz w:val="12"/>
              </w:rPr>
              <w:t>Capture session configured with small test rotation limit</w:t>
            </w:r>
          </w:p>
        </w:tc>
        <w:tc>
          <w:tcPr>
            <w:tcW w:type="dxa" w:w="1461"/>
            <w:vAlign w:val="center"/>
          </w:tcPr>
          <w:p>
            <w:pPr>
              <w:spacing w:after="0"/>
            </w:pPr>
            <w:r/>
            <w:r>
              <w:rPr>
                <w:b w:val="0"/>
                <w:sz w:val="12"/>
              </w:rPr>
              <w:t>Generate traffic past configured size/time threshold; open output with a PCAP reader.</w:t>
            </w:r>
          </w:p>
        </w:tc>
        <w:tc>
          <w:tcPr>
            <w:tcW w:type="dxa" w:w="1461"/>
            <w:vAlign w:val="center"/>
          </w:tcPr>
          <w:p>
            <w:pPr>
              <w:spacing w:after="0"/>
            </w:pPr>
            <w:r/>
            <w:r>
              <w:rPr>
                <w:b w:val="0"/>
                <w:sz w:val="12"/>
              </w:rPr>
              <w:t>Files rotate at configured boundary and each completed file is readable.</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TC-F2-01</w:t>
            </w:r>
          </w:p>
        </w:tc>
        <w:tc>
          <w:tcPr>
            <w:tcW w:type="dxa" w:w="1461"/>
            <w:vAlign w:val="center"/>
          </w:tcPr>
          <w:p>
            <w:pPr>
              <w:spacing w:after="0"/>
            </w:pPr>
            <w:r/>
            <w:r>
              <w:rPr>
                <w:b w:val="0"/>
                <w:sz w:val="12"/>
              </w:rPr>
              <w:t>REQ-F2-01, REQ-F2-02</w:t>
            </w:r>
          </w:p>
        </w:tc>
        <w:tc>
          <w:tcPr>
            <w:tcW w:type="dxa" w:w="1461"/>
            <w:vAlign w:val="center"/>
          </w:tcPr>
          <w:p>
            <w:pPr>
              <w:spacing w:after="0"/>
            </w:pPr>
            <w:r/>
            <w:r>
              <w:rPr>
                <w:b w:val="0"/>
                <w:sz w:val="12"/>
              </w:rPr>
              <w:t>Protocol decode and normalization</w:t>
            </w:r>
          </w:p>
        </w:tc>
        <w:tc>
          <w:tcPr>
            <w:tcW w:type="dxa" w:w="1461"/>
            <w:vAlign w:val="center"/>
          </w:tcPr>
          <w:p>
            <w:pPr>
              <w:spacing w:after="0"/>
            </w:pPr>
            <w:r/>
            <w:r>
              <w:rPr>
                <w:b w:val="0"/>
                <w:sz w:val="12"/>
              </w:rPr>
              <w:t>Representative Ethernet/ARP/IPv4/TCP/UDP/ICMP/DNS/Wi-Fi/BLE fixtures</w:t>
            </w:r>
          </w:p>
        </w:tc>
        <w:tc>
          <w:tcPr>
            <w:tcW w:type="dxa" w:w="1461"/>
            <w:vAlign w:val="center"/>
          </w:tcPr>
          <w:p>
            <w:pPr>
              <w:spacing w:after="0"/>
            </w:pPr>
            <w:r/>
            <w:r>
              <w:rPr>
                <w:b w:val="0"/>
                <w:sz w:val="12"/>
              </w:rPr>
              <w:t>Feed each fixture through parser and inspect NormalizedRecord.</w:t>
            </w:r>
          </w:p>
        </w:tc>
        <w:tc>
          <w:tcPr>
            <w:tcW w:type="dxa" w:w="1461"/>
            <w:vAlign w:val="center"/>
          </w:tcPr>
          <w:p>
            <w:pPr>
              <w:spacing w:after="0"/>
            </w:pPr>
            <w:r/>
            <w:r>
              <w:rPr>
                <w:b w:val="0"/>
                <w:sz w:val="12"/>
              </w:rPr>
              <w:t>Supported fields and link_type are correct; absent protocol fields are not invented.</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TC-F2-02</w:t>
            </w:r>
          </w:p>
        </w:tc>
        <w:tc>
          <w:tcPr>
            <w:tcW w:type="dxa" w:w="1461"/>
            <w:vAlign w:val="center"/>
          </w:tcPr>
          <w:p>
            <w:pPr>
              <w:spacing w:after="0"/>
            </w:pPr>
            <w:r/>
            <w:r>
              <w:rPr>
                <w:b w:val="0"/>
                <w:sz w:val="12"/>
              </w:rPr>
              <w:t>REQ-F2-03</w:t>
            </w:r>
          </w:p>
        </w:tc>
        <w:tc>
          <w:tcPr>
            <w:tcW w:type="dxa" w:w="1461"/>
            <w:vAlign w:val="center"/>
          </w:tcPr>
          <w:p>
            <w:pPr>
              <w:spacing w:after="0"/>
            </w:pPr>
            <w:r/>
            <w:r>
              <w:rPr>
                <w:b w:val="0"/>
                <w:sz w:val="12"/>
              </w:rPr>
              <w:t>Zeek log ingestion</w:t>
            </w:r>
          </w:p>
        </w:tc>
        <w:tc>
          <w:tcPr>
            <w:tcW w:type="dxa" w:w="1461"/>
            <w:vAlign w:val="center"/>
          </w:tcPr>
          <w:p>
            <w:pPr>
              <w:spacing w:after="0"/>
            </w:pPr>
            <w:r/>
            <w:r>
              <w:rPr>
                <w:b w:val="0"/>
                <w:sz w:val="12"/>
              </w:rPr>
              <w:t>Zeek installed; representative conn.log and dns.log fixtures</w:t>
            </w:r>
          </w:p>
        </w:tc>
        <w:tc>
          <w:tcPr>
            <w:tcW w:type="dxa" w:w="1461"/>
            <w:vAlign w:val="center"/>
          </w:tcPr>
          <w:p>
            <w:pPr>
              <w:spacing w:after="0"/>
            </w:pPr>
            <w:r/>
            <w:r>
              <w:rPr>
                <w:b w:val="0"/>
                <w:sz w:val="12"/>
              </w:rPr>
              <w:t>Run ingestion against JSON/TSV log examples including malformed row.</w:t>
            </w:r>
          </w:p>
        </w:tc>
        <w:tc>
          <w:tcPr>
            <w:tcW w:type="dxa" w:w="1461"/>
            <w:vAlign w:val="center"/>
          </w:tcPr>
          <w:p>
            <w:pPr>
              <w:spacing w:after="0"/>
            </w:pPr>
            <w:r/>
            <w:r>
              <w:rPr>
                <w:b w:val="0"/>
                <w:sz w:val="12"/>
              </w:rPr>
              <w:t>Valid records are ingested/enriched; malformed rows are logged and skipped safely.</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TC-F2-03</w:t>
            </w:r>
          </w:p>
        </w:tc>
        <w:tc>
          <w:tcPr>
            <w:tcW w:type="dxa" w:w="1461"/>
            <w:vAlign w:val="center"/>
          </w:tcPr>
          <w:p>
            <w:pPr>
              <w:spacing w:after="0"/>
            </w:pPr>
            <w:r/>
            <w:r>
              <w:rPr>
                <w:b w:val="0"/>
                <w:sz w:val="12"/>
              </w:rPr>
              <w:t>REQ-F2-04, REQ-F2-05</w:t>
            </w:r>
          </w:p>
        </w:tc>
        <w:tc>
          <w:tcPr>
            <w:tcW w:type="dxa" w:w="1461"/>
            <w:vAlign w:val="center"/>
          </w:tcPr>
          <w:p>
            <w:pPr>
              <w:spacing w:after="0"/>
            </w:pPr>
            <w:r/>
            <w:r>
              <w:rPr>
                <w:b w:val="0"/>
                <w:sz w:val="12"/>
              </w:rPr>
              <w:t>SQLite persistence and parser plugin</w:t>
            </w:r>
          </w:p>
        </w:tc>
        <w:tc>
          <w:tcPr>
            <w:tcW w:type="dxa" w:w="1461"/>
            <w:vAlign w:val="center"/>
          </w:tcPr>
          <w:p>
            <w:pPr>
              <w:spacing w:after="0"/>
            </w:pPr>
            <w:r/>
            <w:r>
              <w:rPr>
                <w:b w:val="0"/>
                <w:sz w:val="12"/>
              </w:rPr>
              <w:t>Test database and one test-only parser plugin</w:t>
            </w:r>
          </w:p>
        </w:tc>
        <w:tc>
          <w:tcPr>
            <w:tcW w:type="dxa" w:w="1461"/>
            <w:vAlign w:val="center"/>
          </w:tcPr>
          <w:p>
            <w:pPr>
              <w:spacing w:after="0"/>
            </w:pPr>
            <w:r/>
            <w:r>
              <w:rPr>
                <w:b w:val="0"/>
                <w:sz w:val="12"/>
              </w:rPr>
              <w:t>Persist records; query by IP/MAC/timestamp; register plugin through documented interface.</w:t>
            </w:r>
          </w:p>
        </w:tc>
        <w:tc>
          <w:tcPr>
            <w:tcW w:type="dxa" w:w="1461"/>
            <w:vAlign w:val="center"/>
          </w:tcPr>
          <w:p>
            <w:pPr>
              <w:spacing w:after="0"/>
            </w:pPr>
            <w:r/>
            <w:r>
              <w:rPr>
                <w:b w:val="0"/>
                <w:sz w:val="12"/>
              </w:rPr>
              <w:t>Records persist and indexed filters return expected rows; plugin can be added without changing pipeline core.</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TC-F3-01</w:t>
            </w:r>
          </w:p>
        </w:tc>
        <w:tc>
          <w:tcPr>
            <w:tcW w:type="dxa" w:w="1461"/>
            <w:vAlign w:val="center"/>
          </w:tcPr>
          <w:p>
            <w:pPr>
              <w:spacing w:after="0"/>
            </w:pPr>
            <w:r/>
            <w:r>
              <w:rPr>
                <w:b w:val="0"/>
                <w:sz w:val="12"/>
              </w:rPr>
              <w:t>REQ-F3-01, REQ-F3-02</w:t>
            </w:r>
          </w:p>
        </w:tc>
        <w:tc>
          <w:tcPr>
            <w:tcW w:type="dxa" w:w="1461"/>
            <w:vAlign w:val="center"/>
          </w:tcPr>
          <w:p>
            <w:pPr>
              <w:spacing w:after="0"/>
            </w:pPr>
            <w:r/>
            <w:r>
              <w:rPr>
                <w:b w:val="0"/>
                <w:sz w:val="12"/>
              </w:rPr>
              <w:t>ARP conflict and reply flood</w:t>
            </w:r>
          </w:p>
        </w:tc>
        <w:tc>
          <w:tcPr>
            <w:tcW w:type="dxa" w:w="1461"/>
            <w:vAlign w:val="center"/>
          </w:tcPr>
          <w:p>
            <w:pPr>
              <w:spacing w:after="0"/>
            </w:pPr>
            <w:r/>
            <w:r>
              <w:rPr>
                <w:b w:val="0"/>
                <w:sz w:val="12"/>
              </w:rPr>
              <w:t>Labelled ARP fixture set; thresholds configured</w:t>
            </w:r>
          </w:p>
        </w:tc>
        <w:tc>
          <w:tcPr>
            <w:tcW w:type="dxa" w:w="1461"/>
            <w:vAlign w:val="center"/>
          </w:tcPr>
          <w:p>
            <w:pPr>
              <w:spacing w:after="0"/>
            </w:pPr>
            <w:r/>
            <w:r>
              <w:rPr>
                <w:b w:val="0"/>
                <w:sz w:val="12"/>
              </w:rPr>
              <w:t>Replay normal ARP baseline, conflicting IP-MAC reply, then &gt;5 unsolicited replies in 3 seconds.</w:t>
            </w:r>
          </w:p>
        </w:tc>
        <w:tc>
          <w:tcPr>
            <w:tcW w:type="dxa" w:w="1461"/>
            <w:vAlign w:val="center"/>
          </w:tcPr>
          <w:p>
            <w:pPr>
              <w:spacing w:after="0"/>
            </w:pPr>
            <w:r/>
            <w:r>
              <w:rPr>
                <w:b w:val="0"/>
                <w:sz w:val="12"/>
              </w:rPr>
              <w:t>Conflict and flood produce expected alerts/evidence; benign baseline does not trigger the same alert.</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TC-F3-02</w:t>
            </w:r>
          </w:p>
        </w:tc>
        <w:tc>
          <w:tcPr>
            <w:tcW w:type="dxa" w:w="1461"/>
            <w:vAlign w:val="center"/>
          </w:tcPr>
          <w:p>
            <w:pPr>
              <w:spacing w:after="0"/>
            </w:pPr>
            <w:r/>
            <w:r>
              <w:rPr>
                <w:b w:val="0"/>
                <w:sz w:val="12"/>
              </w:rPr>
              <w:t>REQ-F3-03, REQ-F3-04</w:t>
            </w:r>
          </w:p>
        </w:tc>
        <w:tc>
          <w:tcPr>
            <w:tcW w:type="dxa" w:w="1461"/>
            <w:vAlign w:val="center"/>
          </w:tcPr>
          <w:p>
            <w:pPr>
              <w:spacing w:after="0"/>
            </w:pPr>
            <w:r/>
            <w:r>
              <w:rPr>
                <w:b w:val="0"/>
                <w:sz w:val="12"/>
              </w:rPr>
              <w:t>Port scan and DNS anomaly</w:t>
            </w:r>
          </w:p>
        </w:tc>
        <w:tc>
          <w:tcPr>
            <w:tcW w:type="dxa" w:w="1461"/>
            <w:vAlign w:val="center"/>
          </w:tcPr>
          <w:p>
            <w:pPr>
              <w:spacing w:after="0"/>
            </w:pPr>
            <w:r/>
            <w:r>
              <w:rPr>
                <w:b w:val="0"/>
                <w:sz w:val="12"/>
              </w:rPr>
              <w:t>Synthetic labelled traffic fixture</w:t>
            </w:r>
          </w:p>
        </w:tc>
        <w:tc>
          <w:tcPr>
            <w:tcW w:type="dxa" w:w="1461"/>
            <w:vAlign w:val="center"/>
          </w:tcPr>
          <w:p>
            <w:pPr>
              <w:spacing w:after="0"/>
            </w:pPr>
            <w:r/>
            <w:r>
              <w:rPr>
                <w:b w:val="0"/>
                <w:sz w:val="12"/>
              </w:rPr>
              <w:t>Generate attempts across 15 ports within 5 seconds; then high-entropy/long DNS labels and high NXDOMAIN ratio.</w:t>
            </w:r>
          </w:p>
        </w:tc>
        <w:tc>
          <w:tcPr>
            <w:tcW w:type="dxa" w:w="1461"/>
            <w:vAlign w:val="center"/>
          </w:tcPr>
          <w:p>
            <w:pPr>
              <w:spacing w:after="0"/>
            </w:pPr>
            <w:r/>
            <w:r>
              <w:rPr>
                <w:b w:val="0"/>
                <w:sz w:val="12"/>
              </w:rPr>
              <w:t>Configured scan/DNS rules alert with source and supporting counts/features; ordinary fixture remains below threshold.</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TC-F3-03</w:t>
            </w:r>
          </w:p>
        </w:tc>
        <w:tc>
          <w:tcPr>
            <w:tcW w:type="dxa" w:w="1461"/>
            <w:vAlign w:val="center"/>
          </w:tcPr>
          <w:p>
            <w:pPr>
              <w:spacing w:after="0"/>
            </w:pPr>
            <w:r/>
            <w:r>
              <w:rPr>
                <w:b w:val="0"/>
                <w:sz w:val="12"/>
              </w:rPr>
              <w:t>REQ-F3-05, REQ-F3-06, REQ-F3-07</w:t>
            </w:r>
          </w:p>
        </w:tc>
        <w:tc>
          <w:tcPr>
            <w:tcW w:type="dxa" w:w="1461"/>
            <w:vAlign w:val="center"/>
          </w:tcPr>
          <w:p>
            <w:pPr>
              <w:spacing w:after="0"/>
            </w:pPr>
            <w:r/>
            <w:r>
              <w:rPr>
                <w:b w:val="0"/>
                <w:sz w:val="12"/>
              </w:rPr>
              <w:t>Wi-Fi/BLE anomaly rules</w:t>
            </w:r>
          </w:p>
        </w:tc>
        <w:tc>
          <w:tcPr>
            <w:tcW w:type="dxa" w:w="1461"/>
            <w:vAlign w:val="center"/>
          </w:tcPr>
          <w:p>
            <w:pPr>
              <w:spacing w:after="0"/>
            </w:pPr>
            <w:r/>
            <w:r>
              <w:rPr>
                <w:b w:val="0"/>
                <w:sz w:val="12"/>
              </w:rPr>
              <w:t>Recorded/synthetic 802.11 and BLE fixtures</w:t>
            </w:r>
          </w:p>
        </w:tc>
        <w:tc>
          <w:tcPr>
            <w:tcW w:type="dxa" w:w="1461"/>
            <w:vAlign w:val="center"/>
          </w:tcPr>
          <w:p>
            <w:pPr>
              <w:spacing w:after="0"/>
            </w:pPr>
            <w:r/>
            <w:r>
              <w:rPr>
                <w:b w:val="0"/>
                <w:sz w:val="12"/>
              </w:rPr>
              <w:t>Replay deauth/disassoc bursts, duplicate SSID with unexpected BSSID, and high-rate/churning BLE advertisements.</w:t>
            </w:r>
          </w:p>
        </w:tc>
        <w:tc>
          <w:tcPr>
            <w:tcW w:type="dxa" w:w="1461"/>
            <w:vAlign w:val="center"/>
          </w:tcPr>
          <w:p>
            <w:pPr>
              <w:spacing w:after="0"/>
            </w:pPr>
            <w:r/>
            <w:r>
              <w:rPr>
                <w:b w:val="0"/>
                <w:sz w:val="12"/>
              </w:rPr>
              <w:t>Relevant rule creates Alert with threat type, severity, source interface and evidence.</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TC-F3-04</w:t>
            </w:r>
          </w:p>
        </w:tc>
        <w:tc>
          <w:tcPr>
            <w:tcW w:type="dxa" w:w="1461"/>
            <w:vAlign w:val="center"/>
          </w:tcPr>
          <w:p>
            <w:pPr>
              <w:spacing w:after="0"/>
            </w:pPr>
            <w:r/>
            <w:r>
              <w:rPr>
                <w:b w:val="0"/>
                <w:sz w:val="12"/>
              </w:rPr>
              <w:t>REQ-F3-08, REQ-F3-10</w:t>
            </w:r>
          </w:p>
        </w:tc>
        <w:tc>
          <w:tcPr>
            <w:tcW w:type="dxa" w:w="1461"/>
            <w:vAlign w:val="center"/>
          </w:tcPr>
          <w:p>
            <w:pPr>
              <w:spacing w:after="0"/>
            </w:pPr>
            <w:r/>
            <w:r>
              <w:rPr>
                <w:b w:val="0"/>
                <w:sz w:val="12"/>
              </w:rPr>
              <w:t>Dynamic rules and thresholds</w:t>
            </w:r>
          </w:p>
        </w:tc>
        <w:tc>
          <w:tcPr>
            <w:tcW w:type="dxa" w:w="1461"/>
            <w:vAlign w:val="center"/>
          </w:tcPr>
          <w:p>
            <w:pPr>
              <w:spacing w:after="0"/>
            </w:pPr>
            <w:r/>
            <w:r>
              <w:rPr>
                <w:b w:val="0"/>
                <w:sz w:val="12"/>
              </w:rPr>
              <w:t>Detection config and test detector</w:t>
            </w:r>
          </w:p>
        </w:tc>
        <w:tc>
          <w:tcPr>
            <w:tcW w:type="dxa" w:w="1461"/>
            <w:vAlign w:val="center"/>
          </w:tcPr>
          <w:p>
            <w:pPr>
              <w:spacing w:after="0"/>
            </w:pPr>
            <w:r/>
            <w:r>
              <w:rPr>
                <w:b w:val="0"/>
                <w:sz w:val="12"/>
              </w:rPr>
              <w:t>Change threshold/window and rule enabled state; register/reset test detector.</w:t>
            </w:r>
          </w:p>
        </w:tc>
        <w:tc>
          <w:tcPr>
            <w:tcW w:type="dxa" w:w="1461"/>
            <w:vAlign w:val="center"/>
          </w:tcPr>
          <w:p>
            <w:pPr>
              <w:spacing w:after="0"/>
            </w:pPr>
            <w:r/>
            <w:r>
              <w:rPr>
                <w:b w:val="0"/>
                <w:sz w:val="12"/>
              </w:rPr>
              <w:t>Changes take effect without recompilation; disabled detector does not emit alert; reset clears window state.</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TC-F3-05</w:t>
            </w:r>
          </w:p>
        </w:tc>
        <w:tc>
          <w:tcPr>
            <w:tcW w:type="dxa" w:w="1461"/>
            <w:vAlign w:val="center"/>
          </w:tcPr>
          <w:p>
            <w:pPr>
              <w:spacing w:after="0"/>
            </w:pPr>
            <w:r/>
            <w:r>
              <w:rPr>
                <w:b w:val="0"/>
                <w:sz w:val="12"/>
              </w:rPr>
              <w:t>REQ-F3-09, SEC-04</w:t>
            </w:r>
          </w:p>
        </w:tc>
        <w:tc>
          <w:tcPr>
            <w:tcW w:type="dxa" w:w="1461"/>
            <w:vAlign w:val="center"/>
          </w:tcPr>
          <w:p>
            <w:pPr>
              <w:spacing w:after="0"/>
            </w:pPr>
            <w:r/>
            <w:r>
              <w:rPr>
                <w:b w:val="0"/>
                <w:sz w:val="12"/>
              </w:rPr>
              <w:t>Alert schema and evidence integrity</w:t>
            </w:r>
          </w:p>
        </w:tc>
        <w:tc>
          <w:tcPr>
            <w:tcW w:type="dxa" w:w="1461"/>
            <w:vAlign w:val="center"/>
          </w:tcPr>
          <w:p>
            <w:pPr>
              <w:spacing w:after="0"/>
            </w:pPr>
            <w:r/>
            <w:r>
              <w:rPr>
                <w:b w:val="0"/>
                <w:sz w:val="12"/>
              </w:rPr>
              <w:t>Detection path and test database</w:t>
            </w:r>
          </w:p>
        </w:tc>
        <w:tc>
          <w:tcPr>
            <w:tcW w:type="dxa" w:w="1461"/>
            <w:vAlign w:val="center"/>
          </w:tcPr>
          <w:p>
            <w:pPr>
              <w:spacing w:after="0"/>
            </w:pPr>
            <w:r/>
            <w:r>
              <w:rPr>
                <w:b w:val="0"/>
                <w:sz w:val="12"/>
              </w:rPr>
              <w:t>Generate alert; validate required fields; attempt supported-path update/delete of stored evidence.</w:t>
            </w:r>
          </w:p>
        </w:tc>
        <w:tc>
          <w:tcPr>
            <w:tcW w:type="dxa" w:w="1461"/>
            <w:vAlign w:val="center"/>
          </w:tcPr>
          <w:p>
            <w:pPr>
              <w:spacing w:after="0"/>
            </w:pPr>
            <w:r/>
            <w:r>
              <w:rPr>
                <w:b w:val="0"/>
                <w:sz w:val="12"/>
              </w:rPr>
              <w:t>Required alert fields and enums validate; persisted evidence cannot be silently altered through application paths.</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TC-F4-01</w:t>
            </w:r>
          </w:p>
        </w:tc>
        <w:tc>
          <w:tcPr>
            <w:tcW w:type="dxa" w:w="1461"/>
            <w:vAlign w:val="center"/>
          </w:tcPr>
          <w:p>
            <w:pPr>
              <w:spacing w:after="0"/>
            </w:pPr>
            <w:r/>
            <w:r>
              <w:rPr>
                <w:b w:val="0"/>
                <w:sz w:val="12"/>
              </w:rPr>
              <w:t>REQ-F4-01</w:t>
            </w:r>
          </w:p>
        </w:tc>
        <w:tc>
          <w:tcPr>
            <w:tcW w:type="dxa" w:w="1461"/>
            <w:vAlign w:val="center"/>
          </w:tcPr>
          <w:p>
            <w:pPr>
              <w:spacing w:after="0"/>
            </w:pPr>
            <w:r/>
            <w:r>
              <w:rPr>
                <w:b w:val="0"/>
                <w:sz w:val="12"/>
              </w:rPr>
              <w:t>REST and WebSocket endpoints</w:t>
            </w:r>
          </w:p>
        </w:tc>
        <w:tc>
          <w:tcPr>
            <w:tcW w:type="dxa" w:w="1461"/>
            <w:vAlign w:val="center"/>
          </w:tcPr>
          <w:p>
            <w:pPr>
              <w:spacing w:after="0"/>
            </w:pPr>
            <w:r/>
            <w:r>
              <w:rPr>
                <w:b w:val="0"/>
                <w:sz w:val="12"/>
              </w:rPr>
              <w:t>Service running with known packet and alert records</w:t>
            </w:r>
          </w:p>
        </w:tc>
        <w:tc>
          <w:tcPr>
            <w:tcW w:type="dxa" w:w="1461"/>
            <w:vAlign w:val="center"/>
          </w:tcPr>
          <w:p>
            <w:pPr>
              <w:spacing w:after="0"/>
            </w:pPr>
            <w:r/>
            <w:r>
              <w:rPr>
                <w:b w:val="0"/>
                <w:sz w:val="12"/>
              </w:rPr>
              <w:t>Call health, packets and alerts endpoints; connect to /ws/live; disconnect and reconnect.</w:t>
            </w:r>
          </w:p>
        </w:tc>
        <w:tc>
          <w:tcPr>
            <w:tcW w:type="dxa" w:w="1461"/>
            <w:vAlign w:val="center"/>
          </w:tcPr>
          <w:p>
            <w:pPr>
              <w:spacing w:after="0"/>
            </w:pPr>
            <w:r/>
            <w:r>
              <w:rPr>
                <w:b w:val="0"/>
                <w:sz w:val="12"/>
              </w:rPr>
              <w:t>Responses follow agreed schema; WebSocket sends live metrics/alerts and handles disconnect safely.</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TC-F4-02</w:t>
            </w:r>
          </w:p>
        </w:tc>
        <w:tc>
          <w:tcPr>
            <w:tcW w:type="dxa" w:w="1461"/>
            <w:vAlign w:val="center"/>
          </w:tcPr>
          <w:p>
            <w:pPr>
              <w:spacing w:after="0"/>
            </w:pPr>
            <w:r/>
            <w:r>
              <w:rPr>
                <w:b w:val="0"/>
                <w:sz w:val="12"/>
              </w:rPr>
              <w:t>REQ-F4-02, NFR-USE-01</w:t>
            </w:r>
          </w:p>
        </w:tc>
        <w:tc>
          <w:tcPr>
            <w:tcW w:type="dxa" w:w="1461"/>
            <w:vAlign w:val="center"/>
          </w:tcPr>
          <w:p>
            <w:pPr>
              <w:spacing w:after="0"/>
            </w:pPr>
            <w:r/>
            <w:r>
              <w:rPr>
                <w:b w:val="0"/>
                <w:sz w:val="12"/>
              </w:rPr>
              <w:t>Responsive dashboard</w:t>
            </w:r>
          </w:p>
        </w:tc>
        <w:tc>
          <w:tcPr>
            <w:tcW w:type="dxa" w:w="1461"/>
            <w:vAlign w:val="center"/>
          </w:tcPr>
          <w:p>
            <w:pPr>
              <w:spacing w:after="0"/>
            </w:pPr>
            <w:r/>
            <w:r>
              <w:rPr>
                <w:b w:val="0"/>
                <w:sz w:val="12"/>
              </w:rPr>
              <w:t>Browser available</w:t>
            </w:r>
          </w:p>
        </w:tc>
        <w:tc>
          <w:tcPr>
            <w:tcW w:type="dxa" w:w="1461"/>
            <w:vAlign w:val="center"/>
          </w:tcPr>
          <w:p>
            <w:pPr>
              <w:spacing w:after="0"/>
            </w:pPr>
            <w:r/>
            <w:r>
              <w:rPr>
                <w:b w:val="0"/>
                <w:sz w:val="12"/>
              </w:rPr>
              <w:t>Open dashboard at 375px and 1280px; trigger packet and alert events.</w:t>
            </w:r>
          </w:p>
        </w:tc>
        <w:tc>
          <w:tcPr>
            <w:tcW w:type="dxa" w:w="1461"/>
            <w:vAlign w:val="center"/>
          </w:tcPr>
          <w:p>
            <w:pPr>
              <w:spacing w:after="0"/>
            </w:pPr>
            <w:r/>
            <w:r>
              <w:rPr>
                <w:b w:val="0"/>
                <w:sz w:val="12"/>
              </w:rPr>
              <w:t>Core table/feed/charts remain usable at both widths and updates render without manual refresh.</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TC-F4-03</w:t>
            </w:r>
          </w:p>
        </w:tc>
        <w:tc>
          <w:tcPr>
            <w:tcW w:type="dxa" w:w="1461"/>
            <w:vAlign w:val="center"/>
          </w:tcPr>
          <w:p>
            <w:pPr>
              <w:spacing w:after="0"/>
            </w:pPr>
            <w:r/>
            <w:r>
              <w:rPr>
                <w:b w:val="0"/>
                <w:sz w:val="12"/>
              </w:rPr>
              <w:t>REQ-F4-03, REQ-F4-04</w:t>
            </w:r>
          </w:p>
        </w:tc>
        <w:tc>
          <w:tcPr>
            <w:tcW w:type="dxa" w:w="1461"/>
            <w:vAlign w:val="center"/>
          </w:tcPr>
          <w:p>
            <w:pPr>
              <w:spacing w:after="0"/>
            </w:pPr>
            <w:r/>
            <w:r>
              <w:rPr>
                <w:b w:val="0"/>
                <w:sz w:val="12"/>
              </w:rPr>
              <w:t>Inventory and historical filters</w:t>
            </w:r>
          </w:p>
        </w:tc>
        <w:tc>
          <w:tcPr>
            <w:tcW w:type="dxa" w:w="1461"/>
            <w:vAlign w:val="center"/>
          </w:tcPr>
          <w:p>
            <w:pPr>
              <w:spacing w:after="0"/>
            </w:pPr>
            <w:r/>
            <w:r>
              <w:rPr>
                <w:b w:val="0"/>
                <w:sz w:val="12"/>
              </w:rPr>
              <w:t>Records include multiple MACs/protocols/timestamps</w:t>
            </w:r>
          </w:p>
        </w:tc>
        <w:tc>
          <w:tcPr>
            <w:tcW w:type="dxa" w:w="1461"/>
            <w:vAlign w:val="center"/>
          </w:tcPr>
          <w:p>
            <w:pPr>
              <w:spacing w:after="0"/>
            </w:pPr>
            <w:r/>
            <w:r>
              <w:rPr>
                <w:b w:val="0"/>
                <w:sz w:val="12"/>
              </w:rPr>
              <w:t>Verify OUI lookup, first/last seen; filter by interface, protocol, IP/MAC and time range.</w:t>
            </w:r>
          </w:p>
        </w:tc>
        <w:tc>
          <w:tcPr>
            <w:tcW w:type="dxa" w:w="1461"/>
            <w:vAlign w:val="center"/>
          </w:tcPr>
          <w:p>
            <w:pPr>
              <w:spacing w:after="0"/>
            </w:pPr>
            <w:r/>
            <w:r>
              <w:rPr>
                <w:b w:val="0"/>
                <w:sz w:val="12"/>
              </w:rPr>
              <w:t>Inventory updates correctly; filters return only matching records; unknown OUI is handled gracefully.</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TC-F4-04</w:t>
            </w:r>
          </w:p>
        </w:tc>
        <w:tc>
          <w:tcPr>
            <w:tcW w:type="dxa" w:w="1461"/>
            <w:vAlign w:val="center"/>
          </w:tcPr>
          <w:p>
            <w:pPr>
              <w:spacing w:after="0"/>
            </w:pPr>
            <w:r/>
            <w:r>
              <w:rPr>
                <w:b w:val="0"/>
                <w:sz w:val="12"/>
              </w:rPr>
              <w:t>REQ-F4-05</w:t>
            </w:r>
          </w:p>
        </w:tc>
        <w:tc>
          <w:tcPr>
            <w:tcW w:type="dxa" w:w="1461"/>
            <w:vAlign w:val="center"/>
          </w:tcPr>
          <w:p>
            <w:pPr>
              <w:spacing w:after="0"/>
            </w:pPr>
            <w:r/>
            <w:r>
              <w:rPr>
                <w:b w:val="0"/>
                <w:sz w:val="12"/>
              </w:rPr>
              <w:t>PCAP/CSV/JSON export</w:t>
            </w:r>
          </w:p>
        </w:tc>
        <w:tc>
          <w:tcPr>
            <w:tcW w:type="dxa" w:w="1461"/>
            <w:vAlign w:val="center"/>
          </w:tcPr>
          <w:p>
            <w:pPr>
              <w:spacing w:after="0"/>
            </w:pPr>
            <w:r/>
            <w:r>
              <w:rPr>
                <w:b w:val="0"/>
                <w:sz w:val="12"/>
              </w:rPr>
              <w:t>Known packet fixture set and selected filter</w:t>
            </w:r>
          </w:p>
        </w:tc>
        <w:tc>
          <w:tcPr>
            <w:tcW w:type="dxa" w:w="1461"/>
            <w:vAlign w:val="center"/>
          </w:tcPr>
          <w:p>
            <w:pPr>
              <w:spacing w:after="0"/>
            </w:pPr>
            <w:r/>
            <w:r>
              <w:rPr>
                <w:b w:val="0"/>
                <w:sz w:val="12"/>
              </w:rPr>
              <w:t>Export the same filtered set in all three formats; parse outputs with suitable readers.</w:t>
            </w:r>
          </w:p>
        </w:tc>
        <w:tc>
          <w:tcPr>
            <w:tcW w:type="dxa" w:w="1461"/>
            <w:vAlign w:val="center"/>
          </w:tcPr>
          <w:p>
            <w:pPr>
              <w:spacing w:after="0"/>
            </w:pPr>
            <w:r/>
            <w:r>
              <w:rPr>
                <w:b w:val="0"/>
                <w:sz w:val="12"/>
              </w:rPr>
              <w:t>PCAP is readable; CSV headers/rows and JSON structure are valid; exported records match filter.</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TC-PERF-01</w:t>
            </w:r>
          </w:p>
        </w:tc>
        <w:tc>
          <w:tcPr>
            <w:tcW w:type="dxa" w:w="1461"/>
            <w:vAlign w:val="center"/>
          </w:tcPr>
          <w:p>
            <w:pPr>
              <w:spacing w:after="0"/>
            </w:pPr>
            <w:r/>
            <w:r>
              <w:rPr>
                <w:b w:val="0"/>
                <w:sz w:val="12"/>
              </w:rPr>
              <w:t>NFR-PERF-01, NFR-PERF-02</w:t>
            </w:r>
          </w:p>
        </w:tc>
        <w:tc>
          <w:tcPr>
            <w:tcW w:type="dxa" w:w="1461"/>
            <w:vAlign w:val="center"/>
          </w:tcPr>
          <w:p>
            <w:pPr>
              <w:spacing w:after="0"/>
            </w:pPr>
            <w:r/>
            <w:r>
              <w:rPr>
                <w:b w:val="0"/>
                <w:sz w:val="12"/>
              </w:rPr>
              <w:t>Capture throughput and queue bound</w:t>
            </w:r>
          </w:p>
        </w:tc>
        <w:tc>
          <w:tcPr>
            <w:tcW w:type="dxa" w:w="1461"/>
            <w:vAlign w:val="center"/>
          </w:tcPr>
          <w:p>
            <w:pPr>
              <w:spacing w:after="0"/>
            </w:pPr>
            <w:r/>
            <w:r>
              <w:rPr>
                <w:b w:val="0"/>
                <w:sz w:val="12"/>
              </w:rPr>
              <w:t>Raspberry Pi 4 test setup; controlled traffic generator</w:t>
            </w:r>
          </w:p>
        </w:tc>
        <w:tc>
          <w:tcPr>
            <w:tcW w:type="dxa" w:w="1461"/>
            <w:vAlign w:val="center"/>
          </w:tcPr>
          <w:p>
            <w:pPr>
              <w:spacing w:after="0"/>
            </w:pPr>
            <w:r/>
            <w:r>
              <w:rPr>
                <w:b w:val="0"/>
                <w:sz w:val="12"/>
              </w:rPr>
              <w:t>Offer traffic at increasing rates up to 5,000 packets/sec; record received/stored counts and queue high-water mark.</w:t>
            </w:r>
          </w:p>
        </w:tc>
        <w:tc>
          <w:tcPr>
            <w:tcW w:type="dxa" w:w="1461"/>
            <w:vAlign w:val="center"/>
          </w:tcPr>
          <w:p>
            <w:pPr>
              <w:spacing w:after="0"/>
            </w:pPr>
            <w:r/>
            <w:r>
              <w:rPr>
                <w:b w:val="0"/>
                <w:sz w:val="12"/>
              </w:rPr>
              <w:t>At target lab load, no packet loss is observed under the defined test conditions and queue depth stays below 10,000.</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TC-PERF-02</w:t>
            </w:r>
          </w:p>
        </w:tc>
        <w:tc>
          <w:tcPr>
            <w:tcW w:type="dxa" w:w="1461"/>
            <w:vAlign w:val="center"/>
          </w:tcPr>
          <w:p>
            <w:pPr>
              <w:spacing w:after="0"/>
            </w:pPr>
            <w:r/>
            <w:r>
              <w:rPr>
                <w:b w:val="0"/>
                <w:sz w:val="12"/>
              </w:rPr>
              <w:t>NFR-PERF-03</w:t>
            </w:r>
          </w:p>
        </w:tc>
        <w:tc>
          <w:tcPr>
            <w:tcW w:type="dxa" w:w="1461"/>
            <w:vAlign w:val="center"/>
          </w:tcPr>
          <w:p>
            <w:pPr>
              <w:spacing w:after="0"/>
            </w:pPr>
            <w:r/>
            <w:r>
              <w:rPr>
                <w:b w:val="0"/>
                <w:sz w:val="12"/>
              </w:rPr>
              <w:t>Capture-to-dashboard latency</w:t>
            </w:r>
          </w:p>
        </w:tc>
        <w:tc>
          <w:tcPr>
            <w:tcW w:type="dxa" w:w="1461"/>
            <w:vAlign w:val="center"/>
          </w:tcPr>
          <w:p>
            <w:pPr>
              <w:spacing w:after="0"/>
            </w:pPr>
            <w:r/>
            <w:r>
              <w:rPr>
                <w:b w:val="0"/>
                <w:sz w:val="12"/>
              </w:rPr>
              <w:t>Timestamped fixture/event generator and browser</w:t>
            </w:r>
          </w:p>
        </w:tc>
        <w:tc>
          <w:tcPr>
            <w:tcW w:type="dxa" w:w="1461"/>
            <w:vAlign w:val="center"/>
          </w:tcPr>
          <w:p>
            <w:pPr>
              <w:spacing w:after="0"/>
            </w:pPr>
            <w:r/>
            <w:r>
              <w:rPr>
                <w:b w:val="0"/>
                <w:sz w:val="12"/>
              </w:rPr>
              <w:t>Capture timestamped packets and alerts; measure time until visible in dashboard.</w:t>
            </w:r>
          </w:p>
        </w:tc>
        <w:tc>
          <w:tcPr>
            <w:tcW w:type="dxa" w:w="1461"/>
            <w:vAlign w:val="center"/>
          </w:tcPr>
          <w:p>
            <w:pPr>
              <w:spacing w:after="0"/>
            </w:pPr>
            <w:r/>
            <w:r>
              <w:rPr>
                <w:b w:val="0"/>
                <w:sz w:val="12"/>
              </w:rPr>
              <w:t>Packet feeds, metrics and alerts appear within 2.0 seconds for the defined workload.</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TC-SEC-01</w:t>
            </w:r>
          </w:p>
        </w:tc>
        <w:tc>
          <w:tcPr>
            <w:tcW w:type="dxa" w:w="1461"/>
            <w:vAlign w:val="center"/>
          </w:tcPr>
          <w:p>
            <w:pPr>
              <w:spacing w:after="0"/>
            </w:pPr>
            <w:r/>
            <w:r>
              <w:rPr>
                <w:b w:val="0"/>
                <w:sz w:val="12"/>
              </w:rPr>
              <w:t>SEC-01, SEC-03</w:t>
            </w:r>
          </w:p>
        </w:tc>
        <w:tc>
          <w:tcPr>
            <w:tcW w:type="dxa" w:w="1461"/>
            <w:vAlign w:val="center"/>
          </w:tcPr>
          <w:p>
            <w:pPr>
              <w:spacing w:after="0"/>
            </w:pPr>
            <w:r/>
            <w:r>
              <w:rPr>
                <w:b w:val="0"/>
                <w:sz w:val="12"/>
              </w:rPr>
              <w:t>SAST and dependency audit</w:t>
            </w:r>
          </w:p>
        </w:tc>
        <w:tc>
          <w:tcPr>
            <w:tcW w:type="dxa" w:w="1461"/>
            <w:vAlign w:val="center"/>
          </w:tcPr>
          <w:p>
            <w:pPr>
              <w:spacing w:after="0"/>
            </w:pPr>
            <w:r/>
            <w:r>
              <w:rPr>
                <w:b w:val="0"/>
                <w:sz w:val="12"/>
              </w:rPr>
              <w:t>Candidate revision and dependency manifest</w:t>
            </w:r>
          </w:p>
        </w:tc>
        <w:tc>
          <w:tcPr>
            <w:tcW w:type="dxa" w:w="1461"/>
            <w:vAlign w:val="center"/>
          </w:tcPr>
          <w:p>
            <w:pPr>
              <w:spacing w:after="0"/>
            </w:pPr>
            <w:r/>
            <w:r>
              <w:rPr>
                <w:b w:val="0"/>
                <w:sz w:val="12"/>
              </w:rPr>
              <w:t>Run Bandit, SonarQube and pip-audit; retain raw reports.</w:t>
            </w:r>
          </w:p>
        </w:tc>
        <w:tc>
          <w:tcPr>
            <w:tcW w:type="dxa" w:w="1461"/>
            <w:vAlign w:val="center"/>
          </w:tcPr>
          <w:p>
            <w:pPr>
              <w:spacing w:after="0"/>
            </w:pPr>
            <w:r/>
            <w:r>
              <w:rPr>
                <w:b w:val="0"/>
                <w:sz w:val="12"/>
              </w:rPr>
              <w:t>No unresolved high/critical SAST finding and no known critical dependency CVE; other findings have documented disposition.</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TC-SEC-02</w:t>
            </w:r>
          </w:p>
        </w:tc>
        <w:tc>
          <w:tcPr>
            <w:tcW w:type="dxa" w:w="1461"/>
            <w:vAlign w:val="center"/>
          </w:tcPr>
          <w:p>
            <w:pPr>
              <w:spacing w:after="0"/>
            </w:pPr>
            <w:r/>
            <w:r>
              <w:rPr>
                <w:b w:val="0"/>
                <w:sz w:val="12"/>
              </w:rPr>
              <w:t>SEC-02</w:t>
            </w:r>
          </w:p>
        </w:tc>
        <w:tc>
          <w:tcPr>
            <w:tcW w:type="dxa" w:w="1461"/>
            <w:vAlign w:val="center"/>
          </w:tcPr>
          <w:p>
            <w:pPr>
              <w:spacing w:after="0"/>
            </w:pPr>
            <w:r/>
            <w:r>
              <w:rPr>
                <w:b w:val="0"/>
                <w:sz w:val="12"/>
              </w:rPr>
              <w:t>Malformed packet robustness</w:t>
            </w:r>
          </w:p>
        </w:tc>
        <w:tc>
          <w:tcPr>
            <w:tcW w:type="dxa" w:w="1461"/>
            <w:vAlign w:val="center"/>
          </w:tcPr>
          <w:p>
            <w:pPr>
              <w:spacing w:after="0"/>
            </w:pPr>
            <w:r/>
            <w:r>
              <w:rPr>
                <w:b w:val="0"/>
                <w:sz w:val="12"/>
              </w:rPr>
              <w:t>Malformed/truncated/oversized fixture corpus</w:t>
            </w:r>
          </w:p>
        </w:tc>
        <w:tc>
          <w:tcPr>
            <w:tcW w:type="dxa" w:w="1461"/>
            <w:vAlign w:val="center"/>
          </w:tcPr>
          <w:p>
            <w:pPr>
              <w:spacing w:after="0"/>
            </w:pPr>
            <w:r/>
            <w:r>
              <w:rPr>
                <w:b w:val="0"/>
                <w:sz w:val="12"/>
              </w:rPr>
              <w:t>Replay corpus interleaved with valid packets while monitoring process and logs.</w:t>
            </w:r>
          </w:p>
        </w:tc>
        <w:tc>
          <w:tcPr>
            <w:tcW w:type="dxa" w:w="1461"/>
            <w:vAlign w:val="center"/>
          </w:tcPr>
          <w:p>
            <w:pPr>
              <w:spacing w:after="0"/>
            </w:pPr>
            <w:r/>
            <w:r>
              <w:rPr>
                <w:b w:val="0"/>
                <w:sz w:val="12"/>
              </w:rPr>
              <w:t>Service remains running, malformed inputs are safely logged/rejected, and subsequent valid packets continue processing.</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TC-DEP-01</w:t>
            </w:r>
          </w:p>
        </w:tc>
        <w:tc>
          <w:tcPr>
            <w:tcW w:type="dxa" w:w="1461"/>
            <w:vAlign w:val="center"/>
          </w:tcPr>
          <w:p>
            <w:pPr>
              <w:spacing w:after="0"/>
            </w:pPr>
            <w:r/>
            <w:r>
              <w:rPr>
                <w:b w:val="0"/>
                <w:sz w:val="12"/>
              </w:rPr>
              <w:t>NFR-PORT-01</w:t>
            </w:r>
          </w:p>
        </w:tc>
        <w:tc>
          <w:tcPr>
            <w:tcW w:type="dxa" w:w="1461"/>
            <w:vAlign w:val="center"/>
          </w:tcPr>
          <w:p>
            <w:pPr>
              <w:spacing w:after="0"/>
            </w:pPr>
            <w:r/>
            <w:r>
              <w:rPr>
                <w:b w:val="0"/>
                <w:sz w:val="12"/>
              </w:rPr>
              <w:t>Docker/systemd deployment</w:t>
            </w:r>
          </w:p>
        </w:tc>
        <w:tc>
          <w:tcPr>
            <w:tcW w:type="dxa" w:w="1461"/>
            <w:vAlign w:val="center"/>
          </w:tcPr>
          <w:p>
            <w:pPr>
              <w:spacing w:after="0"/>
            </w:pPr>
            <w:r/>
            <w:r>
              <w:rPr>
                <w:b w:val="0"/>
                <w:sz w:val="12"/>
              </w:rPr>
              <w:t>Raspberry Pi/Linux deployment target</w:t>
            </w:r>
          </w:p>
        </w:tc>
        <w:tc>
          <w:tcPr>
            <w:tcW w:type="dxa" w:w="1461"/>
            <w:vAlign w:val="center"/>
          </w:tcPr>
          <w:p>
            <w:pPr>
              <w:spacing w:after="0"/>
            </w:pPr>
            <w:r/>
            <w:r>
              <w:rPr>
                <w:b w:val="0"/>
                <w:sz w:val="12"/>
              </w:rPr>
              <w:t>Install/start service through the documented deployment path; reboot host.</w:t>
            </w:r>
          </w:p>
        </w:tc>
        <w:tc>
          <w:tcPr>
            <w:tcW w:type="dxa" w:w="1461"/>
            <w:vAlign w:val="center"/>
          </w:tcPr>
          <w:p>
            <w:pPr>
              <w:spacing w:after="0"/>
            </w:pPr>
            <w:r/>
            <w:r>
              <w:rPr>
                <w:b w:val="0"/>
                <w:sz w:val="12"/>
              </w:rPr>
              <w:t>Services start on boot and health check succeeds; missing capabilities/dependencies produce actionable logs.</w:t>
            </w:r>
          </w:p>
        </w:tc>
        <w:tc>
          <w:tcPr>
            <w:tcW w:type="dxa" w:w="1461"/>
            <w:vAlign w:val="center"/>
          </w:tcPr>
          <w:p>
            <w:pPr>
              <w:spacing w:after="0"/>
            </w:pPr>
            <w:r/>
            <w:r>
              <w:rPr>
                <w:b w:val="0"/>
                <w:sz w:val="12"/>
              </w:rPr>
              <w:t>Not Run</w:t>
            </w:r>
          </w:p>
        </w:tc>
      </w:tr>
      <w:tr>
        <w:tc>
          <w:tcPr>
            <w:tcW w:type="dxa" w:w="1461"/>
            <w:vAlign w:val="center"/>
          </w:tcPr>
          <w:p>
            <w:pPr>
              <w:spacing w:after="0"/>
            </w:pPr>
            <w:r/>
            <w:r>
              <w:rPr>
                <w:b w:val="0"/>
                <w:sz w:val="12"/>
              </w:rPr>
              <w:t>TC-QA-01</w:t>
            </w:r>
          </w:p>
        </w:tc>
        <w:tc>
          <w:tcPr>
            <w:tcW w:type="dxa" w:w="1461"/>
            <w:vAlign w:val="center"/>
          </w:tcPr>
          <w:p>
            <w:pPr>
              <w:spacing w:after="0"/>
            </w:pPr>
            <w:r/>
            <w:r>
              <w:rPr>
                <w:b w:val="0"/>
                <w:sz w:val="12"/>
              </w:rPr>
              <w:t>NFR-QA-01</w:t>
            </w:r>
          </w:p>
        </w:tc>
        <w:tc>
          <w:tcPr>
            <w:tcW w:type="dxa" w:w="1461"/>
            <w:vAlign w:val="center"/>
          </w:tcPr>
          <w:p>
            <w:pPr>
              <w:spacing w:after="0"/>
            </w:pPr>
            <w:r/>
            <w:r>
              <w:rPr>
                <w:b w:val="0"/>
                <w:sz w:val="12"/>
              </w:rPr>
              <w:t>Coverage gate</w:t>
            </w:r>
          </w:p>
        </w:tc>
        <w:tc>
          <w:tcPr>
            <w:tcW w:type="dxa" w:w="1461"/>
            <w:vAlign w:val="center"/>
          </w:tcPr>
          <w:p>
            <w:pPr>
              <w:spacing w:after="0"/>
            </w:pPr>
            <w:r/>
            <w:r>
              <w:rPr>
                <w:b w:val="0"/>
                <w:sz w:val="12"/>
              </w:rPr>
              <w:t>Complete test suite on candidate revision</w:t>
            </w:r>
          </w:p>
        </w:tc>
        <w:tc>
          <w:tcPr>
            <w:tcW w:type="dxa" w:w="1461"/>
            <w:vAlign w:val="center"/>
          </w:tcPr>
          <w:p>
            <w:pPr>
              <w:spacing w:after="0"/>
            </w:pPr>
            <w:r/>
            <w:r>
              <w:rPr>
                <w:b w:val="0"/>
                <w:sz w:val="12"/>
              </w:rPr>
              <w:t>Run coverage tooling for functional modules and inspect line/branch reports.</w:t>
            </w:r>
          </w:p>
        </w:tc>
        <w:tc>
          <w:tcPr>
            <w:tcW w:type="dxa" w:w="1461"/>
            <w:vAlign w:val="center"/>
          </w:tcPr>
          <w:p>
            <w:pPr>
              <w:spacing w:after="0"/>
            </w:pPr>
            <w:r/>
            <w:r>
              <w:rPr>
                <w:b w:val="0"/>
                <w:sz w:val="12"/>
              </w:rPr>
              <w:t>Line and branch coverage each meet or exceed 85%, with exclusions documented.</w:t>
            </w:r>
          </w:p>
        </w:tc>
        <w:tc>
          <w:tcPr>
            <w:tcW w:type="dxa" w:w="1461"/>
            <w:vAlign w:val="center"/>
          </w:tcPr>
          <w:p>
            <w:pPr>
              <w:spacing w:after="0"/>
            </w:pPr>
            <w:r/>
            <w:r>
              <w:rPr>
                <w:b w:val="0"/>
                <w:sz w:val="12"/>
              </w:rPr>
              <w:t>Not Run</w:t>
            </w:r>
          </w:p>
        </w:tc>
      </w:tr>
    </w:tbl>
    <w:p/>
    <w:p>
      <w:pPr>
        <w:pStyle w:val="Heading1"/>
      </w:pPr>
      <w:r>
        <w:t>Coverage summary</w:t>
      </w:r>
    </w:p>
    <w:p>
      <w:r>
        <w:t>Total designed test cases: 23. Coverage includes F1–F4, all four security requirements, the three performance requirements, responsive usability, deployment and coverage gate. These are planned cases; coverage is not the same as successful execution.</w:t>
      </w:r>
    </w:p>
    <w:p>
      <w:pPr>
        <w:pStyle w:val="Heading1"/>
      </w:pPr>
      <w:r>
        <w:t>Execution record template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D9D9"/>
          </w:tcPr>
          <w:p>
            <w:pPr>
              <w:spacing w:after="0"/>
            </w:pPr>
            <w:r/>
            <w:r>
              <w:rPr>
                <w:b/>
                <w:sz w:val="15"/>
              </w:rPr>
              <w:t>TC ID</w:t>
            </w:r>
          </w:p>
        </w:tc>
        <w:tc>
          <w:tcPr>
            <w:tcW w:type="dxa" w:w="1704"/>
            <w:vAlign w:val="center"/>
            <w:shd w:fill="D9D9D9"/>
          </w:tcPr>
          <w:p>
            <w:pPr>
              <w:spacing w:after="0"/>
            </w:pPr>
            <w:r/>
            <w:r>
              <w:rPr>
                <w:b/>
                <w:sz w:val="15"/>
              </w:rPr>
              <w:t>Build/commit</w:t>
            </w:r>
          </w:p>
        </w:tc>
        <w:tc>
          <w:tcPr>
            <w:tcW w:type="dxa" w:w="1704"/>
            <w:vAlign w:val="center"/>
            <w:shd w:fill="D9D9D9"/>
          </w:tcPr>
          <w:p>
            <w:pPr>
              <w:spacing w:after="0"/>
            </w:pPr>
            <w:r/>
            <w:r>
              <w:rPr>
                <w:b/>
                <w:sz w:val="15"/>
              </w:rPr>
              <w:t>Date</w:t>
            </w:r>
          </w:p>
        </w:tc>
        <w:tc>
          <w:tcPr>
            <w:tcW w:type="dxa" w:w="1704"/>
            <w:vAlign w:val="center"/>
            <w:shd w:fill="D9D9D9"/>
          </w:tcPr>
          <w:p>
            <w:pPr>
              <w:spacing w:after="0"/>
            </w:pPr>
            <w:r/>
            <w:r>
              <w:rPr>
                <w:b/>
                <w:sz w:val="15"/>
              </w:rPr>
              <w:t>Actual result / evidence path</w:t>
            </w:r>
          </w:p>
        </w:tc>
        <w:tc>
          <w:tcPr>
            <w:tcW w:type="dxa" w:w="1704"/>
            <w:vAlign w:val="center"/>
            <w:shd w:fill="D9D9D9"/>
          </w:tcPr>
          <w:p>
            <w:pPr>
              <w:spacing w:after="0"/>
            </w:pPr>
            <w:r/>
            <w:r>
              <w:rPr>
                <w:b/>
                <w:sz w:val="15"/>
              </w:rPr>
              <w:t>Status</w:t>
            </w:r>
          </w:p>
        </w:tc>
        <w:tc>
          <w:tcPr>
            <w:tcW w:type="dxa" w:w="1704"/>
            <w:vAlign w:val="center"/>
            <w:shd w:fill="D9D9D9"/>
          </w:tcPr>
          <w:p>
            <w:pPr>
              <w:spacing w:after="0"/>
            </w:pPr>
            <w:r/>
            <w:r>
              <w:rPr>
                <w:b/>
                <w:sz w:val="15"/>
              </w:rPr>
              <w:t>Defect ID / notes</w:t>
            </w:r>
          </w:p>
        </w:tc>
      </w:tr>
      <w:tr>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t>Not Run</w:t>
            </w:r>
          </w:p>
        </w:tc>
        <w:tc>
          <w:tcPr>
            <w:tcW w:type="dxa" w:w="1704"/>
            <w:vAlign w:val="center"/>
          </w:tcPr>
          <w:p>
            <w:pPr>
              <w:spacing w:after="0"/>
            </w:pPr>
            <w:r/>
            <w:r>
              <w:rPr>
                <w:b w:val="0"/>
                <w:sz w:val="15"/>
              </w:rPr>
            </w:r>
          </w:p>
        </w:tc>
      </w:tr>
      <w:tr>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t>Not Run</w:t>
            </w:r>
          </w:p>
        </w:tc>
        <w:tc>
          <w:tcPr>
            <w:tcW w:type="dxa" w:w="1704"/>
            <w:vAlign w:val="center"/>
          </w:tcPr>
          <w:p>
            <w:pPr>
              <w:spacing w:after="0"/>
            </w:pPr>
            <w:r/>
            <w:r>
              <w:rPr>
                <w:b w:val="0"/>
                <w:sz w:val="15"/>
              </w:rPr>
            </w:r>
          </w:p>
        </w:tc>
      </w:tr>
      <w:tr>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t>Not Run</w:t>
            </w:r>
          </w:p>
        </w:tc>
        <w:tc>
          <w:tcPr>
            <w:tcW w:type="dxa" w:w="1704"/>
            <w:vAlign w:val="center"/>
          </w:tcPr>
          <w:p>
            <w:pPr>
              <w:spacing w:after="0"/>
            </w:pPr>
            <w:r/>
            <w:r>
              <w:rPr>
                <w:b w:val="0"/>
                <w:sz w:val="15"/>
              </w:rPr>
            </w:r>
          </w:p>
        </w:tc>
      </w:tr>
      <w:tr>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t>Not Run</w:t>
            </w:r>
          </w:p>
        </w:tc>
        <w:tc>
          <w:tcPr>
            <w:tcW w:type="dxa" w:w="1704"/>
            <w:vAlign w:val="center"/>
          </w:tcPr>
          <w:p>
            <w:pPr>
              <w:spacing w:after="0"/>
            </w:pPr>
            <w:r/>
            <w:r>
              <w:rPr>
                <w:b w:val="0"/>
                <w:sz w:val="15"/>
              </w:rPr>
            </w:r>
          </w:p>
        </w:tc>
      </w:tr>
      <w:tr>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r>
          </w:p>
        </w:tc>
        <w:tc>
          <w:tcPr>
            <w:tcW w:type="dxa" w:w="1704"/>
            <w:vAlign w:val="center"/>
          </w:tcPr>
          <w:p>
            <w:pPr>
              <w:spacing w:after="0"/>
            </w:pPr>
            <w:r/>
            <w:r>
              <w:rPr>
                <w:b w:val="0"/>
                <w:sz w:val="15"/>
              </w:rPr>
              <w:t>Not Run</w:t>
            </w:r>
          </w:p>
        </w:tc>
        <w:tc>
          <w:tcPr>
            <w:tcW w:type="dxa" w:w="1704"/>
            <w:vAlign w:val="center"/>
          </w:tcPr>
          <w:p>
            <w:pPr>
              <w:spacing w:after="0"/>
            </w:pPr>
            <w:r/>
            <w:r>
              <w:rPr>
                <w:b w:val="0"/>
                <w:sz w:val="15"/>
              </w:rPr>
            </w:r>
          </w:p>
        </w:tc>
      </w:tr>
    </w:tbl>
    <w:p/>
    <w:p>
      <w:pPr>
        <w:pStyle w:val="Heading1"/>
      </w:pPr>
      <w:r>
        <w:t>RTM update notes</w:t>
      </w:r>
    </w:p>
    <w:p>
      <w:r>
        <w:t>Keep the existing 30-row SRS RTM as the requirement baseline. Map each case above to its SRS IDs. The existing SRS lists intended source paths and UT/ST identifiers; confirm these paths and test names against the repository before treating them as implemented artifacts. Record execution outcomes separately.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Pocket Packet Sniffer | UE24CS341A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