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88389" w14:textId="2E278C13" w:rsidR="003905A8" w:rsidRDefault="00E8526F" w:rsidP="00114EA6">
      <w:pPr>
        <w:rPr>
          <w:rFonts w:ascii="Times New Roman" w:hAnsi="Times New Roman" w:cs="Times New Roman"/>
          <w:b/>
          <w:bCs/>
          <w:sz w:val="32"/>
          <w:szCs w:val="32"/>
        </w:rPr>
      </w:pPr>
      <w:r w:rsidRPr="00EA64DB">
        <w:rPr>
          <w:rFonts w:ascii="Times New Roman" w:hAnsi="Times New Roman" w:cs="Times New Roman"/>
          <w:b/>
          <w:bCs/>
          <w:sz w:val="32"/>
          <w:szCs w:val="32"/>
        </w:rPr>
        <w:t>HDFC BANK — EQUITY RESEARCH REPORT</w:t>
      </w:r>
    </w:p>
    <w:p w14:paraId="1E4AA033" w14:textId="77777777" w:rsidR="00186C56" w:rsidRDefault="00186C56" w:rsidP="00114EA6">
      <w:pPr>
        <w:ind w:firstLine="0"/>
        <w:rPr>
          <w:rFonts w:ascii="Times New Roman" w:hAnsi="Times New Roman" w:cs="Times New Roman"/>
          <w:b/>
          <w:bCs/>
          <w:sz w:val="28"/>
          <w:szCs w:val="28"/>
        </w:rPr>
      </w:pPr>
    </w:p>
    <w:p w14:paraId="7D0C38CC" w14:textId="359B34F0" w:rsidR="00186C56" w:rsidRPr="00186C56" w:rsidRDefault="00186C56" w:rsidP="00114EA6">
      <w:pPr>
        <w:ind w:firstLine="0"/>
        <w:rPr>
          <w:rFonts w:ascii="Times New Roman" w:hAnsi="Times New Roman" w:cs="Times New Roman"/>
          <w:b/>
          <w:bCs/>
          <w:sz w:val="28"/>
          <w:szCs w:val="28"/>
        </w:rPr>
      </w:pPr>
      <w:r w:rsidRPr="00186C56">
        <w:rPr>
          <w:rFonts w:ascii="Times New Roman" w:hAnsi="Times New Roman" w:cs="Times New Roman"/>
          <w:b/>
          <w:bCs/>
          <w:sz w:val="28"/>
          <w:szCs w:val="28"/>
        </w:rPr>
        <w:t>Equity Research &amp; Financial Analysis</w:t>
      </w:r>
    </w:p>
    <w:p w14:paraId="58EBE657" w14:textId="77777777" w:rsidR="00186C56" w:rsidRDefault="00186C56" w:rsidP="00114EA6">
      <w:pPr>
        <w:ind w:firstLine="0"/>
        <w:rPr>
          <w:rFonts w:ascii="Times New Roman" w:hAnsi="Times New Roman" w:cs="Times New Roman"/>
          <w:b/>
          <w:bCs/>
          <w:sz w:val="28"/>
          <w:szCs w:val="28"/>
        </w:rPr>
      </w:pPr>
      <w:r w:rsidRPr="00186C56">
        <w:rPr>
          <w:rFonts w:ascii="Times New Roman" w:hAnsi="Times New Roman" w:cs="Times New Roman"/>
          <w:b/>
          <w:bCs/>
          <w:sz w:val="28"/>
          <w:szCs w:val="28"/>
        </w:rPr>
        <w:t>Analysis Period: FY2022–FY2026</w:t>
      </w:r>
    </w:p>
    <w:p w14:paraId="2668E003" w14:textId="77777777" w:rsidR="00486AB1" w:rsidRDefault="00486AB1" w:rsidP="00114EA6">
      <w:pPr>
        <w:ind w:firstLine="0"/>
        <w:rPr>
          <w:rFonts w:ascii="Times New Roman" w:hAnsi="Times New Roman" w:cs="Times New Roman"/>
          <w:b/>
          <w:bCs/>
          <w:sz w:val="28"/>
          <w:szCs w:val="28"/>
        </w:rPr>
      </w:pPr>
    </w:p>
    <w:p w14:paraId="18DAB3A0" w14:textId="0C42CF03" w:rsidR="00486AB1" w:rsidRDefault="00486AB1" w:rsidP="00114EA6">
      <w:pPr>
        <w:ind w:firstLine="0"/>
        <w:rPr>
          <w:rFonts w:ascii="Times New Roman" w:hAnsi="Times New Roman" w:cs="Times New Roman"/>
          <w:b/>
          <w:bCs/>
          <w:sz w:val="28"/>
          <w:szCs w:val="28"/>
        </w:rPr>
      </w:pPr>
      <w:r w:rsidRPr="00486AB1">
        <w:rPr>
          <w:rFonts w:ascii="Times New Roman" w:hAnsi="Times New Roman" w:cs="Times New Roman"/>
          <w:b/>
          <w:bCs/>
          <w:sz w:val="28"/>
          <w:szCs w:val="28"/>
        </w:rPr>
        <w:t>Executive Summary</w:t>
      </w:r>
    </w:p>
    <w:p w14:paraId="6B943E02" w14:textId="77777777" w:rsidR="0097473A" w:rsidRPr="0097473A" w:rsidRDefault="0097473A" w:rsidP="00114EA6">
      <w:pPr>
        <w:ind w:firstLine="0"/>
        <w:rPr>
          <w:rFonts w:ascii="Times New Roman" w:hAnsi="Times New Roman" w:cs="Times New Roman"/>
        </w:rPr>
      </w:pPr>
      <w:r w:rsidRPr="0097473A">
        <w:rPr>
          <w:rFonts w:ascii="Times New Roman" w:hAnsi="Times New Roman" w:cs="Times New Roman"/>
        </w:rPr>
        <w:t>HDFC Bank is one of India's leading private-sector banks, with a strong deposit franchise, large lending portfolio, robust capitalization and a diversified banking business. This project evaluates the bank's historical financial performance, balance-sheet growth, asset quality, profitability, capital adequacy, peer positioning and forward valuation.</w:t>
      </w:r>
    </w:p>
    <w:p w14:paraId="0E20AA89" w14:textId="77777777" w:rsidR="0097473A" w:rsidRDefault="0097473A" w:rsidP="00114EA6">
      <w:pPr>
        <w:ind w:firstLine="0"/>
        <w:rPr>
          <w:rFonts w:ascii="Times New Roman" w:hAnsi="Times New Roman" w:cs="Times New Roman"/>
        </w:rPr>
      </w:pPr>
    </w:p>
    <w:p w14:paraId="311BD374" w14:textId="5E661AD8" w:rsidR="0097473A" w:rsidRPr="0097473A" w:rsidRDefault="0097473A" w:rsidP="00114EA6">
      <w:pPr>
        <w:ind w:firstLine="0"/>
        <w:rPr>
          <w:rFonts w:ascii="Times New Roman" w:hAnsi="Times New Roman" w:cs="Times New Roman"/>
        </w:rPr>
      </w:pPr>
      <w:r w:rsidRPr="0097473A">
        <w:rPr>
          <w:rFonts w:ascii="Times New Roman" w:hAnsi="Times New Roman" w:cs="Times New Roman"/>
        </w:rPr>
        <w:t>The analysis indicates that HDFC Bank has maintained a strong financial position, supported by consistent net interest income growth, expanding loans and deposits, healthy profitability and capital adequacy. The bank's large-scale deposit franchise provides a stable funding base, while its capital position provides resilience against potential financial and credit risks.</w:t>
      </w:r>
    </w:p>
    <w:p w14:paraId="138BE561" w14:textId="77777777" w:rsidR="0097473A" w:rsidRPr="0097473A" w:rsidRDefault="0097473A" w:rsidP="00114EA6">
      <w:pPr>
        <w:ind w:firstLine="0"/>
        <w:rPr>
          <w:rFonts w:ascii="Times New Roman" w:hAnsi="Times New Roman" w:cs="Times New Roman"/>
        </w:rPr>
      </w:pPr>
      <w:r w:rsidRPr="0097473A">
        <w:rPr>
          <w:rFonts w:ascii="Times New Roman" w:hAnsi="Times New Roman" w:cs="Times New Roman"/>
        </w:rPr>
        <w:t>A forward-looking financial model was developed using assumptions for loan growth, deposit growth, NII growth and profitability. A Price-to-Book valuation approach was then used to estimate a base-case FY2027 target price of approximately ₹902 against a reference share price of ₹732.90, implying approximately 23% potential upside.</w:t>
      </w:r>
    </w:p>
    <w:p w14:paraId="71FAD592" w14:textId="77777777" w:rsidR="0097473A" w:rsidRDefault="0097473A" w:rsidP="00114EA6">
      <w:pPr>
        <w:ind w:firstLine="0"/>
        <w:rPr>
          <w:rFonts w:ascii="Times New Roman" w:hAnsi="Times New Roman" w:cs="Times New Roman"/>
        </w:rPr>
      </w:pPr>
    </w:p>
    <w:p w14:paraId="78EB84B7" w14:textId="163B09FC" w:rsidR="0097473A" w:rsidRDefault="0097473A" w:rsidP="00114EA6">
      <w:pPr>
        <w:ind w:firstLine="0"/>
        <w:rPr>
          <w:rFonts w:ascii="Times New Roman" w:hAnsi="Times New Roman" w:cs="Times New Roman"/>
        </w:rPr>
      </w:pPr>
      <w:r w:rsidRPr="0097473A">
        <w:rPr>
          <w:rFonts w:ascii="Times New Roman" w:hAnsi="Times New Roman" w:cs="Times New Roman"/>
        </w:rPr>
        <w:t>Scenario analysis produces an implied valuation range of approximately ₹712 under the bear case, ₹902 under the base case and ₹1,052 under the bull case. The analysis therefore indicates a constructive investment view, while recognizing risks including net interest margin compression, slower credit growth, asset-quality deterioration, higher credit costs and valuation compression.</w:t>
      </w:r>
    </w:p>
    <w:p w14:paraId="44EC449A" w14:textId="77777777" w:rsidR="002E3E94" w:rsidRDefault="002E3E94" w:rsidP="00114EA6">
      <w:pPr>
        <w:ind w:firstLine="0"/>
        <w:rPr>
          <w:rFonts w:ascii="Times New Roman" w:hAnsi="Times New Roman" w:cs="Times New Roman"/>
        </w:rPr>
      </w:pPr>
    </w:p>
    <w:p w14:paraId="14B0E6F8" w14:textId="7F0DCAE4" w:rsidR="002E3E94" w:rsidRDefault="002E3E94" w:rsidP="00114EA6">
      <w:pPr>
        <w:ind w:firstLine="0"/>
        <w:rPr>
          <w:rFonts w:ascii="Times New Roman" w:hAnsi="Times New Roman" w:cs="Times New Roman"/>
          <w:b/>
          <w:bCs/>
          <w:sz w:val="28"/>
          <w:szCs w:val="28"/>
        </w:rPr>
      </w:pPr>
      <w:r w:rsidRPr="002E3E94">
        <w:rPr>
          <w:rFonts w:ascii="Times New Roman" w:hAnsi="Times New Roman" w:cs="Times New Roman"/>
          <w:b/>
          <w:bCs/>
          <w:sz w:val="28"/>
          <w:szCs w:val="28"/>
        </w:rPr>
        <w:t>Investment Snapshot</w:t>
      </w:r>
    </w:p>
    <w:p w14:paraId="31249861" w14:textId="69F3356F" w:rsidR="007A60D9" w:rsidRPr="007B2A69" w:rsidRDefault="00B15519" w:rsidP="00114EA6">
      <w:pPr>
        <w:ind w:firstLine="0"/>
        <w:rPr>
          <w:rFonts w:ascii="Times New Roman" w:hAnsi="Times New Roman" w:cs="Times New Roman"/>
          <w:b/>
          <w:bCs/>
        </w:rPr>
      </w:pPr>
      <w:r w:rsidRPr="007B2A69">
        <w:rPr>
          <w:rFonts w:ascii="Times New Roman" w:hAnsi="Times New Roman" w:cs="Times New Roman"/>
          <w:b/>
          <w:bCs/>
        </w:rPr>
        <w:t>Metric</w:t>
      </w:r>
      <w:r w:rsidR="00991329">
        <w:rPr>
          <w:rFonts w:ascii="Times New Roman" w:hAnsi="Times New Roman" w:cs="Times New Roman"/>
          <w:b/>
          <w:bCs/>
        </w:rPr>
        <w:t xml:space="preserve">                                                                                                                           </w:t>
      </w:r>
      <w:r w:rsidR="007A60D9" w:rsidRPr="007A60D9">
        <w:rPr>
          <w:rFonts w:ascii="Times New Roman" w:hAnsi="Times New Roman" w:cs="Times New Roman"/>
          <w:b/>
          <w:bCs/>
        </w:rPr>
        <w:t>Result</w:t>
      </w:r>
    </w:p>
    <w:p w14:paraId="6110CA4E" w14:textId="358607FE" w:rsidR="00B15519" w:rsidRDefault="007B2A69" w:rsidP="00114EA6">
      <w:pPr>
        <w:ind w:firstLine="0"/>
        <w:rPr>
          <w:rFonts w:ascii="Times New Roman" w:hAnsi="Times New Roman" w:cs="Times New Roman"/>
        </w:rPr>
      </w:pPr>
      <w:r w:rsidRPr="007B2A69">
        <w:rPr>
          <w:rFonts w:ascii="Times New Roman" w:hAnsi="Times New Roman" w:cs="Times New Roman"/>
        </w:rPr>
        <w:t>Current Reference Price</w:t>
      </w:r>
      <w:r w:rsidR="00F77E02">
        <w:rPr>
          <w:rFonts w:ascii="Times New Roman" w:hAnsi="Times New Roman" w:cs="Times New Roman"/>
        </w:rPr>
        <w:t xml:space="preserve">    </w:t>
      </w:r>
      <w:r w:rsidR="007A60D9">
        <w:rPr>
          <w:rFonts w:ascii="Times New Roman" w:hAnsi="Times New Roman" w:cs="Times New Roman"/>
        </w:rPr>
        <w:t xml:space="preserve">                                                                                            </w:t>
      </w:r>
      <w:r w:rsidR="00F30F86" w:rsidRPr="00F30F86">
        <w:rPr>
          <w:rFonts w:ascii="Times New Roman" w:hAnsi="Times New Roman" w:cs="Times New Roman"/>
        </w:rPr>
        <w:t>₹732.90</w:t>
      </w:r>
      <w:r w:rsidR="007A60D9">
        <w:rPr>
          <w:rFonts w:ascii="Times New Roman" w:hAnsi="Times New Roman" w:cs="Times New Roman"/>
        </w:rPr>
        <w:t xml:space="preserve">                                         </w:t>
      </w:r>
      <w:r w:rsidR="00F77E02">
        <w:rPr>
          <w:rFonts w:ascii="Times New Roman" w:hAnsi="Times New Roman" w:cs="Times New Roman"/>
        </w:rPr>
        <w:t xml:space="preserve">                                                                                    </w:t>
      </w:r>
      <w:r w:rsidR="00991329">
        <w:rPr>
          <w:rFonts w:ascii="Times New Roman" w:hAnsi="Times New Roman" w:cs="Times New Roman"/>
        </w:rPr>
        <w:t xml:space="preserve">        </w:t>
      </w:r>
    </w:p>
    <w:p w14:paraId="08B43E23" w14:textId="7EC4EE57" w:rsidR="007B2A69" w:rsidRDefault="00A917B9" w:rsidP="00114EA6">
      <w:pPr>
        <w:ind w:firstLine="0"/>
        <w:rPr>
          <w:rFonts w:ascii="Times New Roman" w:hAnsi="Times New Roman" w:cs="Times New Roman"/>
        </w:rPr>
      </w:pPr>
      <w:r w:rsidRPr="00A917B9">
        <w:rPr>
          <w:rFonts w:ascii="Times New Roman" w:hAnsi="Times New Roman" w:cs="Times New Roman"/>
        </w:rPr>
        <w:t>Base Target Price</w:t>
      </w:r>
      <w:r w:rsidR="00F30F86">
        <w:rPr>
          <w:rFonts w:ascii="Times New Roman" w:hAnsi="Times New Roman" w:cs="Times New Roman"/>
        </w:rPr>
        <w:t xml:space="preserve">                                                                                                           </w:t>
      </w:r>
      <w:r w:rsidR="00F30F86" w:rsidRPr="00F30F86">
        <w:rPr>
          <w:rFonts w:ascii="Times New Roman" w:hAnsi="Times New Roman" w:cs="Times New Roman"/>
        </w:rPr>
        <w:t>₹901.82</w:t>
      </w:r>
    </w:p>
    <w:p w14:paraId="73AA6112" w14:textId="778DDBCE" w:rsidR="00A917B9" w:rsidRDefault="00A917B9" w:rsidP="00114EA6">
      <w:pPr>
        <w:ind w:firstLine="0"/>
        <w:rPr>
          <w:rFonts w:ascii="Times New Roman" w:hAnsi="Times New Roman" w:cs="Times New Roman"/>
        </w:rPr>
      </w:pPr>
      <w:r w:rsidRPr="00A917B9">
        <w:rPr>
          <w:rFonts w:ascii="Times New Roman" w:hAnsi="Times New Roman" w:cs="Times New Roman"/>
        </w:rPr>
        <w:t>Base Upsid</w:t>
      </w:r>
      <w:r>
        <w:rPr>
          <w:rFonts w:ascii="Times New Roman" w:hAnsi="Times New Roman" w:cs="Times New Roman"/>
        </w:rPr>
        <w:t>e</w:t>
      </w:r>
      <w:r w:rsidR="00DF31CB">
        <w:rPr>
          <w:rFonts w:ascii="Times New Roman" w:hAnsi="Times New Roman" w:cs="Times New Roman"/>
        </w:rPr>
        <w:t xml:space="preserve">                                                                                                                   </w:t>
      </w:r>
      <w:r w:rsidR="00DF31CB" w:rsidRPr="00DF31CB">
        <w:rPr>
          <w:rFonts w:ascii="Times New Roman" w:hAnsi="Times New Roman" w:cs="Times New Roman"/>
        </w:rPr>
        <w:t>23.0%</w:t>
      </w:r>
    </w:p>
    <w:p w14:paraId="1B88BF5C" w14:textId="611A4128" w:rsidR="00A917B9" w:rsidRDefault="002A4E4E" w:rsidP="00114EA6">
      <w:pPr>
        <w:ind w:firstLine="0"/>
        <w:rPr>
          <w:rFonts w:ascii="Times New Roman" w:hAnsi="Times New Roman" w:cs="Times New Roman"/>
        </w:rPr>
      </w:pPr>
      <w:r w:rsidRPr="002A4E4E">
        <w:rPr>
          <w:rFonts w:ascii="Times New Roman" w:hAnsi="Times New Roman" w:cs="Times New Roman"/>
        </w:rPr>
        <w:t>Bear Target</w:t>
      </w:r>
      <w:r w:rsidR="00DF31CB">
        <w:rPr>
          <w:rFonts w:ascii="Times New Roman" w:hAnsi="Times New Roman" w:cs="Times New Roman"/>
        </w:rPr>
        <w:t xml:space="preserve">                                                                                                                     </w:t>
      </w:r>
      <w:r w:rsidR="00A12F90" w:rsidRPr="00A12F90">
        <w:rPr>
          <w:rFonts w:ascii="Times New Roman" w:hAnsi="Times New Roman" w:cs="Times New Roman"/>
        </w:rPr>
        <w:t>₹711.50</w:t>
      </w:r>
    </w:p>
    <w:p w14:paraId="421370FB" w14:textId="0B514372" w:rsidR="002A4E4E" w:rsidRDefault="002A4E4E" w:rsidP="00114EA6">
      <w:pPr>
        <w:ind w:firstLine="0"/>
        <w:rPr>
          <w:rFonts w:ascii="Times New Roman" w:hAnsi="Times New Roman" w:cs="Times New Roman"/>
        </w:rPr>
      </w:pPr>
      <w:r w:rsidRPr="002A4E4E">
        <w:rPr>
          <w:rFonts w:ascii="Times New Roman" w:hAnsi="Times New Roman" w:cs="Times New Roman"/>
        </w:rPr>
        <w:lastRenderedPageBreak/>
        <w:t>Bull Target</w:t>
      </w:r>
      <w:r w:rsidR="00A12F90">
        <w:rPr>
          <w:rFonts w:ascii="Times New Roman" w:hAnsi="Times New Roman" w:cs="Times New Roman"/>
        </w:rPr>
        <w:t xml:space="preserve">                                                                                                                    </w:t>
      </w:r>
      <w:r w:rsidR="00DF4361" w:rsidRPr="00DF4361">
        <w:rPr>
          <w:rFonts w:ascii="Times New Roman" w:hAnsi="Times New Roman" w:cs="Times New Roman"/>
        </w:rPr>
        <w:t>₹1,052.25</w:t>
      </w:r>
    </w:p>
    <w:p w14:paraId="750C5473" w14:textId="6B39796F" w:rsidR="002A4E4E" w:rsidRDefault="002A4E4E" w:rsidP="00114EA6">
      <w:pPr>
        <w:ind w:firstLine="0"/>
        <w:rPr>
          <w:rFonts w:ascii="Times New Roman" w:hAnsi="Times New Roman" w:cs="Times New Roman"/>
        </w:rPr>
      </w:pPr>
      <w:r w:rsidRPr="002A4E4E">
        <w:rPr>
          <w:rFonts w:ascii="Times New Roman" w:hAnsi="Times New Roman" w:cs="Times New Roman"/>
        </w:rPr>
        <w:t>Current P/B</w:t>
      </w:r>
      <w:r w:rsidR="00DF4361">
        <w:rPr>
          <w:rFonts w:ascii="Times New Roman" w:hAnsi="Times New Roman" w:cs="Times New Roman"/>
        </w:rPr>
        <w:t xml:space="preserve">                                                                                                                   </w:t>
      </w:r>
      <w:r w:rsidR="00A12109" w:rsidRPr="00A12109">
        <w:rPr>
          <w:rFonts w:ascii="Times New Roman" w:hAnsi="Times New Roman" w:cs="Times New Roman"/>
        </w:rPr>
        <w:t>2.00x</w:t>
      </w:r>
    </w:p>
    <w:p w14:paraId="5C7CDB49" w14:textId="39F2EFB2" w:rsidR="002A4E4E" w:rsidRDefault="00F77E02" w:rsidP="00114EA6">
      <w:pPr>
        <w:ind w:firstLine="0"/>
        <w:rPr>
          <w:rFonts w:ascii="Times New Roman" w:hAnsi="Times New Roman" w:cs="Times New Roman"/>
        </w:rPr>
      </w:pPr>
      <w:r w:rsidRPr="00F77E02">
        <w:rPr>
          <w:rFonts w:ascii="Times New Roman" w:hAnsi="Times New Roman" w:cs="Times New Roman"/>
        </w:rPr>
        <w:t>Target P/B</w:t>
      </w:r>
      <w:r w:rsidR="00A12109">
        <w:rPr>
          <w:rFonts w:ascii="Times New Roman" w:hAnsi="Times New Roman" w:cs="Times New Roman"/>
        </w:rPr>
        <w:t xml:space="preserve">                                                                                                                     </w:t>
      </w:r>
      <w:r w:rsidR="00A12109" w:rsidRPr="00A12109">
        <w:rPr>
          <w:rFonts w:ascii="Times New Roman" w:hAnsi="Times New Roman" w:cs="Times New Roman"/>
        </w:rPr>
        <w:t>2.20x</w:t>
      </w:r>
    </w:p>
    <w:p w14:paraId="2ED08D7D" w14:textId="46FB44F6" w:rsidR="00F77E02" w:rsidRPr="007B2A69" w:rsidRDefault="00F77E02" w:rsidP="00114EA6">
      <w:pPr>
        <w:ind w:firstLine="0"/>
        <w:rPr>
          <w:rFonts w:ascii="Times New Roman" w:hAnsi="Times New Roman" w:cs="Times New Roman"/>
        </w:rPr>
      </w:pPr>
      <w:r w:rsidRPr="00F77E02">
        <w:rPr>
          <w:rFonts w:ascii="Times New Roman" w:hAnsi="Times New Roman" w:cs="Times New Roman"/>
        </w:rPr>
        <w:t>Investment View</w:t>
      </w:r>
      <w:r w:rsidR="00AB207C">
        <w:rPr>
          <w:rFonts w:ascii="Times New Roman" w:hAnsi="Times New Roman" w:cs="Times New Roman"/>
        </w:rPr>
        <w:t xml:space="preserve">                                                                                                         </w:t>
      </w:r>
      <w:r w:rsidR="00DA16D2">
        <w:rPr>
          <w:rFonts w:ascii="Times New Roman" w:hAnsi="Times New Roman" w:cs="Times New Roman"/>
        </w:rPr>
        <w:t xml:space="preserve">  BUY</w:t>
      </w:r>
    </w:p>
    <w:p w14:paraId="76E78A8B" w14:textId="77777777" w:rsidR="00486AB1" w:rsidRPr="00486AB1" w:rsidRDefault="00486AB1" w:rsidP="00114EA6">
      <w:pPr>
        <w:ind w:firstLine="0"/>
        <w:rPr>
          <w:rFonts w:ascii="Times New Roman" w:hAnsi="Times New Roman" w:cs="Times New Roman"/>
          <w:b/>
          <w:bCs/>
          <w:sz w:val="28"/>
          <w:szCs w:val="28"/>
        </w:rPr>
      </w:pPr>
    </w:p>
    <w:p w14:paraId="1DDEED50" w14:textId="2065A51C" w:rsidR="00486AB1" w:rsidRDefault="00DA16D2" w:rsidP="00114EA6">
      <w:pPr>
        <w:ind w:firstLine="0"/>
        <w:rPr>
          <w:rFonts w:ascii="Times New Roman" w:hAnsi="Times New Roman" w:cs="Times New Roman"/>
          <w:b/>
          <w:bCs/>
          <w:sz w:val="28"/>
          <w:szCs w:val="28"/>
        </w:rPr>
      </w:pPr>
      <w:r w:rsidRPr="00DA16D2">
        <w:rPr>
          <w:rFonts w:ascii="Times New Roman" w:hAnsi="Times New Roman" w:cs="Times New Roman"/>
          <w:b/>
          <w:bCs/>
          <w:sz w:val="28"/>
          <w:szCs w:val="28"/>
        </w:rPr>
        <w:t>Project Objective</w:t>
      </w:r>
    </w:p>
    <w:p w14:paraId="09F54D10" w14:textId="0B0DAF52" w:rsidR="00DA16D2" w:rsidRDefault="00921E64" w:rsidP="00114EA6">
      <w:pPr>
        <w:ind w:firstLine="0"/>
        <w:rPr>
          <w:rFonts w:ascii="Times New Roman" w:hAnsi="Times New Roman" w:cs="Times New Roman"/>
        </w:rPr>
      </w:pPr>
      <w:r w:rsidRPr="00921E64">
        <w:rPr>
          <w:rFonts w:ascii="Times New Roman" w:hAnsi="Times New Roman" w:cs="Times New Roman"/>
        </w:rPr>
        <w:t xml:space="preserve">The objective of this project is to independently evaluate HDFC Bank from an equity research perspective by </w:t>
      </w:r>
      <w:proofErr w:type="spellStart"/>
      <w:r w:rsidRPr="00921E64">
        <w:rPr>
          <w:rFonts w:ascii="Times New Roman" w:hAnsi="Times New Roman" w:cs="Times New Roman"/>
        </w:rPr>
        <w:t>analyzing</w:t>
      </w:r>
      <w:proofErr w:type="spellEnd"/>
      <w:r w:rsidRPr="00921E64">
        <w:rPr>
          <w:rFonts w:ascii="Times New Roman" w:hAnsi="Times New Roman" w:cs="Times New Roman"/>
        </w:rPr>
        <w:t xml:space="preserve"> its historical financial performance, balance-sheet growth, asset quality, profitability, capital strength, competitive position and valuation. The project also develops a forward-looking financial model and scenario-based valuation to understand potential investment outcomes.</w:t>
      </w:r>
    </w:p>
    <w:p w14:paraId="4DDAC9B0" w14:textId="77777777" w:rsidR="00386692" w:rsidRDefault="00386692" w:rsidP="00114EA6">
      <w:pPr>
        <w:ind w:firstLine="0"/>
        <w:rPr>
          <w:rFonts w:ascii="Times New Roman" w:hAnsi="Times New Roman" w:cs="Times New Roman"/>
        </w:rPr>
      </w:pPr>
    </w:p>
    <w:p w14:paraId="6A7FF948" w14:textId="77777777" w:rsidR="00386692" w:rsidRDefault="00386692" w:rsidP="00114EA6">
      <w:pPr>
        <w:ind w:firstLine="0"/>
        <w:rPr>
          <w:rFonts w:ascii="Times New Roman" w:hAnsi="Times New Roman" w:cs="Times New Roman"/>
        </w:rPr>
      </w:pPr>
    </w:p>
    <w:p w14:paraId="560B57A5" w14:textId="681FD6C4" w:rsidR="00386692" w:rsidRDefault="00386692" w:rsidP="00114EA6">
      <w:pPr>
        <w:ind w:firstLine="0"/>
        <w:rPr>
          <w:rFonts w:ascii="Times New Roman" w:hAnsi="Times New Roman" w:cs="Times New Roman"/>
          <w:b/>
          <w:bCs/>
          <w:sz w:val="28"/>
          <w:szCs w:val="28"/>
        </w:rPr>
      </w:pPr>
      <w:r w:rsidRPr="00386692">
        <w:rPr>
          <w:rFonts w:ascii="Times New Roman" w:hAnsi="Times New Roman" w:cs="Times New Roman"/>
          <w:b/>
          <w:bCs/>
          <w:sz w:val="28"/>
          <w:szCs w:val="28"/>
        </w:rPr>
        <w:t>Company &amp; Business Analysis</w:t>
      </w:r>
    </w:p>
    <w:p w14:paraId="10300F64" w14:textId="77777777" w:rsidR="003930EA" w:rsidRPr="003930EA" w:rsidRDefault="003930EA" w:rsidP="00114EA6">
      <w:pPr>
        <w:ind w:firstLine="0"/>
        <w:rPr>
          <w:rFonts w:ascii="Times New Roman" w:hAnsi="Times New Roman" w:cs="Times New Roman"/>
        </w:rPr>
      </w:pPr>
      <w:r w:rsidRPr="003930EA">
        <w:rPr>
          <w:rFonts w:ascii="Times New Roman" w:hAnsi="Times New Roman" w:cs="Times New Roman"/>
        </w:rPr>
        <w:t>HDFC Bank is a major private-sector bank in India offering a broad range of financial services to retail customers, businesses and corporate clients. Its operations include retail banking, wholesale banking and treasury activities.</w:t>
      </w:r>
    </w:p>
    <w:p w14:paraId="275FE1F4" w14:textId="77777777" w:rsidR="003930EA" w:rsidRDefault="003930EA" w:rsidP="00114EA6">
      <w:pPr>
        <w:ind w:firstLine="0"/>
        <w:rPr>
          <w:rFonts w:ascii="Times New Roman" w:hAnsi="Times New Roman" w:cs="Times New Roman"/>
        </w:rPr>
      </w:pPr>
    </w:p>
    <w:p w14:paraId="1ECB2F2B" w14:textId="5EB380C5" w:rsidR="003930EA" w:rsidRPr="003930EA" w:rsidRDefault="003930EA" w:rsidP="00114EA6">
      <w:pPr>
        <w:ind w:firstLine="0"/>
        <w:rPr>
          <w:rFonts w:ascii="Times New Roman" w:hAnsi="Times New Roman" w:cs="Times New Roman"/>
        </w:rPr>
      </w:pPr>
      <w:r w:rsidRPr="003930EA">
        <w:rPr>
          <w:rFonts w:ascii="Times New Roman" w:hAnsi="Times New Roman" w:cs="Times New Roman"/>
        </w:rPr>
        <w:t>The bank's business model is primarily based on accepting deposits and deploying these funds through loans and other earning assets. Net interest income is therefore a key component of its earnings, while fee-based services, treasury activities and other banking services provide additional sources of income.</w:t>
      </w:r>
    </w:p>
    <w:p w14:paraId="63FCCDD0" w14:textId="77777777" w:rsidR="003930EA" w:rsidRDefault="003930EA" w:rsidP="00114EA6">
      <w:pPr>
        <w:ind w:firstLine="0"/>
        <w:rPr>
          <w:rFonts w:ascii="Times New Roman" w:hAnsi="Times New Roman" w:cs="Times New Roman"/>
        </w:rPr>
      </w:pPr>
    </w:p>
    <w:p w14:paraId="73DD552B" w14:textId="246C260F" w:rsidR="003930EA" w:rsidRPr="003930EA" w:rsidRDefault="003930EA" w:rsidP="00114EA6">
      <w:pPr>
        <w:ind w:firstLine="0"/>
        <w:rPr>
          <w:rFonts w:ascii="Times New Roman" w:hAnsi="Times New Roman" w:cs="Times New Roman"/>
        </w:rPr>
      </w:pPr>
      <w:r w:rsidRPr="003930EA">
        <w:rPr>
          <w:rFonts w:ascii="Times New Roman" w:hAnsi="Times New Roman" w:cs="Times New Roman"/>
        </w:rPr>
        <w:t>HDFC Bank's large customer base and extensive distribution network provide significant scale advantages. Its deposit franchise is particularly important because a strong and diversified deposit base provides a relatively stable source of funding for lending activities.</w:t>
      </w:r>
    </w:p>
    <w:p w14:paraId="1AD92527" w14:textId="77777777" w:rsidR="003930EA" w:rsidRDefault="003930EA" w:rsidP="00114EA6">
      <w:pPr>
        <w:ind w:firstLine="0"/>
        <w:rPr>
          <w:rFonts w:ascii="Times New Roman" w:hAnsi="Times New Roman" w:cs="Times New Roman"/>
        </w:rPr>
      </w:pPr>
    </w:p>
    <w:p w14:paraId="0D193694" w14:textId="74707F86" w:rsidR="003930EA" w:rsidRDefault="003930EA" w:rsidP="00114EA6">
      <w:pPr>
        <w:ind w:firstLine="0"/>
        <w:rPr>
          <w:rFonts w:ascii="Times New Roman" w:hAnsi="Times New Roman" w:cs="Times New Roman"/>
        </w:rPr>
      </w:pPr>
      <w:r w:rsidRPr="003930EA">
        <w:rPr>
          <w:rFonts w:ascii="Times New Roman" w:hAnsi="Times New Roman" w:cs="Times New Roman"/>
        </w:rPr>
        <w:t>The bank's post-merger scale has further increased the size of its balance sheet and expanded its customer and distribution reach. From an equity research perspective, the key areas to monitor include loan growth, deposit growth, net interest margin, asset quality, profitability, capital adequacy and the bank's ability to maintain efficient growth while protecting returns.</w:t>
      </w:r>
    </w:p>
    <w:p w14:paraId="3380BE86" w14:textId="77777777" w:rsidR="003930EA" w:rsidRDefault="003930EA" w:rsidP="00114EA6">
      <w:pPr>
        <w:ind w:firstLine="0"/>
        <w:rPr>
          <w:rFonts w:ascii="Times New Roman" w:hAnsi="Times New Roman" w:cs="Times New Roman"/>
        </w:rPr>
      </w:pPr>
    </w:p>
    <w:p w14:paraId="1CC84A75" w14:textId="77777777" w:rsidR="00303D70" w:rsidRDefault="00303D70">
      <w:pPr>
        <w:rPr>
          <w:rFonts w:ascii="Times New Roman" w:hAnsi="Times New Roman" w:cs="Times New Roman"/>
          <w:b/>
          <w:bCs/>
          <w:sz w:val="28"/>
          <w:szCs w:val="28"/>
        </w:rPr>
      </w:pPr>
      <w:r>
        <w:rPr>
          <w:rFonts w:ascii="Times New Roman" w:hAnsi="Times New Roman" w:cs="Times New Roman"/>
          <w:b/>
          <w:bCs/>
          <w:sz w:val="28"/>
          <w:szCs w:val="28"/>
        </w:rPr>
        <w:br w:type="page"/>
      </w:r>
    </w:p>
    <w:p w14:paraId="710F7C0D" w14:textId="4412B576" w:rsidR="00CA39CC" w:rsidRDefault="00CA39CC" w:rsidP="00114EA6">
      <w:pPr>
        <w:ind w:firstLine="0"/>
        <w:rPr>
          <w:rFonts w:ascii="Times New Roman" w:hAnsi="Times New Roman" w:cs="Times New Roman"/>
          <w:b/>
          <w:bCs/>
          <w:sz w:val="28"/>
          <w:szCs w:val="28"/>
        </w:rPr>
      </w:pPr>
      <w:r w:rsidRPr="00CA39CC">
        <w:rPr>
          <w:rFonts w:ascii="Times New Roman" w:hAnsi="Times New Roman" w:cs="Times New Roman"/>
          <w:b/>
          <w:bCs/>
          <w:sz w:val="28"/>
          <w:szCs w:val="28"/>
        </w:rPr>
        <w:lastRenderedPageBreak/>
        <w:t>Business Model</w:t>
      </w:r>
    </w:p>
    <w:p w14:paraId="2253EDDA" w14:textId="77777777" w:rsidR="00CA39CC" w:rsidRPr="00CA39CC" w:rsidRDefault="00CA39CC" w:rsidP="00114EA6">
      <w:pPr>
        <w:ind w:firstLine="0"/>
        <w:rPr>
          <w:rFonts w:ascii="Times New Roman" w:hAnsi="Times New Roman" w:cs="Times New Roman"/>
        </w:rPr>
      </w:pPr>
      <w:r w:rsidRPr="00CA39CC">
        <w:rPr>
          <w:rFonts w:ascii="Times New Roman" w:hAnsi="Times New Roman" w:cs="Times New Roman"/>
        </w:rPr>
        <w:t>HDFC Bank's core business model involves mobilizing deposits from customers and institutions and deploying these funds into loans and other interest-earning assets. The difference between interest earned and interest paid forms the foundation of net interest income. The bank also generates revenue through fees, commissions, treasury operations and other financial services.</w:t>
      </w:r>
    </w:p>
    <w:p w14:paraId="08D87B45" w14:textId="77777777" w:rsidR="00CA39CC" w:rsidRPr="00CA39CC" w:rsidRDefault="00CA39CC" w:rsidP="00114EA6">
      <w:pPr>
        <w:ind w:firstLine="0"/>
        <w:rPr>
          <w:rFonts w:ascii="Times New Roman" w:hAnsi="Times New Roman" w:cs="Times New Roman"/>
        </w:rPr>
      </w:pPr>
      <w:r w:rsidRPr="00CA39CC">
        <w:rPr>
          <w:rFonts w:ascii="Times New Roman" w:hAnsi="Times New Roman" w:cs="Times New Roman"/>
        </w:rPr>
        <w:t>The major components of the business model can therefore be summarized as:</w:t>
      </w:r>
    </w:p>
    <w:p w14:paraId="73FDCCF2" w14:textId="77777777" w:rsidR="00CA39CC" w:rsidRPr="00CA39CC" w:rsidRDefault="00CA39CC" w:rsidP="00114EA6">
      <w:pPr>
        <w:ind w:firstLine="0"/>
        <w:rPr>
          <w:rFonts w:ascii="Times New Roman" w:hAnsi="Times New Roman" w:cs="Times New Roman"/>
        </w:rPr>
      </w:pPr>
      <w:r w:rsidRPr="00CA39CC">
        <w:rPr>
          <w:rFonts w:ascii="Times New Roman" w:hAnsi="Times New Roman" w:cs="Times New Roman"/>
        </w:rPr>
        <w:t>Deposits → Lending → Interest Income → Net Interest Income → Profitability</w:t>
      </w:r>
    </w:p>
    <w:p w14:paraId="6AAC59AC" w14:textId="77777777" w:rsidR="00CA39CC" w:rsidRDefault="00CA39CC" w:rsidP="00114EA6">
      <w:pPr>
        <w:ind w:firstLine="0"/>
        <w:rPr>
          <w:rFonts w:ascii="Times New Roman" w:hAnsi="Times New Roman" w:cs="Times New Roman"/>
        </w:rPr>
      </w:pPr>
      <w:r w:rsidRPr="00CA39CC">
        <w:rPr>
          <w:rFonts w:ascii="Times New Roman" w:hAnsi="Times New Roman" w:cs="Times New Roman"/>
        </w:rPr>
        <w:t>Alongside this core banking cycle, the bank focuses on maintaining asset quality, managing credit risk, maintaining adequate capital and expanding its customer franchise.</w:t>
      </w:r>
    </w:p>
    <w:p w14:paraId="7B04883E" w14:textId="77777777" w:rsidR="00CA39CC" w:rsidRDefault="00CA39CC" w:rsidP="00114EA6">
      <w:pPr>
        <w:ind w:firstLine="0"/>
        <w:rPr>
          <w:rFonts w:ascii="Times New Roman" w:hAnsi="Times New Roman" w:cs="Times New Roman"/>
        </w:rPr>
      </w:pPr>
    </w:p>
    <w:p w14:paraId="17D6E34F" w14:textId="77777777" w:rsidR="00742573" w:rsidRDefault="00742573" w:rsidP="00114EA6">
      <w:pPr>
        <w:ind w:firstLine="0"/>
        <w:rPr>
          <w:rFonts w:ascii="Times New Roman" w:hAnsi="Times New Roman" w:cs="Times New Roman"/>
        </w:rPr>
      </w:pPr>
    </w:p>
    <w:p w14:paraId="522AA89F" w14:textId="35776148" w:rsidR="00742573" w:rsidRDefault="00742573" w:rsidP="00114EA6">
      <w:pPr>
        <w:ind w:firstLine="0"/>
        <w:rPr>
          <w:rFonts w:ascii="Times New Roman" w:hAnsi="Times New Roman" w:cs="Times New Roman"/>
          <w:b/>
          <w:bCs/>
          <w:sz w:val="28"/>
          <w:szCs w:val="28"/>
        </w:rPr>
      </w:pPr>
      <w:r w:rsidRPr="00742573">
        <w:rPr>
          <w:rFonts w:ascii="Times New Roman" w:hAnsi="Times New Roman" w:cs="Times New Roman"/>
          <w:b/>
          <w:bCs/>
          <w:sz w:val="28"/>
          <w:szCs w:val="28"/>
        </w:rPr>
        <w:t>Key Business Drivers</w:t>
      </w:r>
    </w:p>
    <w:p w14:paraId="3FBBF9BE" w14:textId="77777777" w:rsidR="00742573" w:rsidRPr="00742573" w:rsidRDefault="00742573" w:rsidP="00114EA6">
      <w:pPr>
        <w:ind w:firstLine="0"/>
        <w:rPr>
          <w:rFonts w:ascii="Times New Roman" w:hAnsi="Times New Roman" w:cs="Times New Roman"/>
        </w:rPr>
      </w:pPr>
      <w:r w:rsidRPr="00742573">
        <w:rPr>
          <w:rFonts w:ascii="Times New Roman" w:hAnsi="Times New Roman" w:cs="Times New Roman"/>
        </w:rPr>
        <w:t>The major factors influencing HDFC Bank's financial performance include:</w:t>
      </w:r>
    </w:p>
    <w:p w14:paraId="2968C1A5" w14:textId="77777777" w:rsidR="00742573" w:rsidRPr="00742573" w:rsidRDefault="00742573" w:rsidP="00114EA6">
      <w:pPr>
        <w:ind w:firstLine="0"/>
        <w:rPr>
          <w:rFonts w:ascii="Times New Roman" w:hAnsi="Times New Roman" w:cs="Times New Roman"/>
        </w:rPr>
      </w:pPr>
      <w:r w:rsidRPr="00742573">
        <w:rPr>
          <w:rFonts w:ascii="Times New Roman" w:hAnsi="Times New Roman" w:cs="Times New Roman"/>
        </w:rPr>
        <w:t>1. Loan Growth: Expansion in loans increases the bank's interest-earning asset base and can support future NII growth.</w:t>
      </w:r>
    </w:p>
    <w:p w14:paraId="32D9A5B1" w14:textId="77777777" w:rsidR="00742573" w:rsidRPr="00742573" w:rsidRDefault="00742573" w:rsidP="00114EA6">
      <w:pPr>
        <w:ind w:firstLine="0"/>
        <w:rPr>
          <w:rFonts w:ascii="Times New Roman" w:hAnsi="Times New Roman" w:cs="Times New Roman"/>
        </w:rPr>
      </w:pPr>
      <w:r w:rsidRPr="00742573">
        <w:rPr>
          <w:rFonts w:ascii="Times New Roman" w:hAnsi="Times New Roman" w:cs="Times New Roman"/>
        </w:rPr>
        <w:t>2. Deposit Growth: A strong deposit franchise provides funding for lending and supports balance-sheet expansion.</w:t>
      </w:r>
    </w:p>
    <w:p w14:paraId="62B64D77" w14:textId="77777777" w:rsidR="00742573" w:rsidRPr="00742573" w:rsidRDefault="00742573" w:rsidP="00114EA6">
      <w:pPr>
        <w:ind w:firstLine="0"/>
        <w:rPr>
          <w:rFonts w:ascii="Times New Roman" w:hAnsi="Times New Roman" w:cs="Times New Roman"/>
        </w:rPr>
      </w:pPr>
      <w:r w:rsidRPr="00742573">
        <w:rPr>
          <w:rFonts w:ascii="Times New Roman" w:hAnsi="Times New Roman" w:cs="Times New Roman"/>
        </w:rPr>
        <w:t>3. Net Interest Margin: NIM measures the spread earned from interest-earning assets and is a key indicator of banking profitability.</w:t>
      </w:r>
    </w:p>
    <w:p w14:paraId="06C6CA17" w14:textId="77777777" w:rsidR="00742573" w:rsidRPr="00742573" w:rsidRDefault="00742573" w:rsidP="00114EA6">
      <w:pPr>
        <w:ind w:firstLine="0"/>
        <w:rPr>
          <w:rFonts w:ascii="Times New Roman" w:hAnsi="Times New Roman" w:cs="Times New Roman"/>
        </w:rPr>
      </w:pPr>
      <w:r w:rsidRPr="00742573">
        <w:rPr>
          <w:rFonts w:ascii="Times New Roman" w:hAnsi="Times New Roman" w:cs="Times New Roman"/>
        </w:rPr>
        <w:t>4. Asset Quality: GNPA, NNPA and credit costs indicate the quality of the bank's loan portfolio and the potential impact of credit losses.</w:t>
      </w:r>
    </w:p>
    <w:p w14:paraId="13439180" w14:textId="77777777" w:rsidR="00742573" w:rsidRPr="00742573" w:rsidRDefault="00742573" w:rsidP="00114EA6">
      <w:pPr>
        <w:ind w:firstLine="0"/>
        <w:rPr>
          <w:rFonts w:ascii="Times New Roman" w:hAnsi="Times New Roman" w:cs="Times New Roman"/>
        </w:rPr>
      </w:pPr>
      <w:r w:rsidRPr="00742573">
        <w:rPr>
          <w:rFonts w:ascii="Times New Roman" w:hAnsi="Times New Roman" w:cs="Times New Roman"/>
        </w:rPr>
        <w:t>5. Capital Adequacy: Strong capital provides the bank with a buffer against financial and credit risks while supporting future growth.</w:t>
      </w:r>
    </w:p>
    <w:p w14:paraId="2231975F" w14:textId="77777777" w:rsidR="00742573" w:rsidRDefault="00742573" w:rsidP="00114EA6">
      <w:pPr>
        <w:ind w:firstLine="0"/>
        <w:rPr>
          <w:rFonts w:ascii="Times New Roman" w:hAnsi="Times New Roman" w:cs="Times New Roman"/>
        </w:rPr>
      </w:pPr>
      <w:r w:rsidRPr="00742573">
        <w:rPr>
          <w:rFonts w:ascii="Times New Roman" w:hAnsi="Times New Roman" w:cs="Times New Roman"/>
        </w:rPr>
        <w:t>6. Operating Efficiency: Controlling operating expenses while expanding the business can improve profitability and returns on equity.</w:t>
      </w:r>
    </w:p>
    <w:p w14:paraId="3696D8A3" w14:textId="77777777" w:rsidR="00286483" w:rsidRDefault="00286483" w:rsidP="00114EA6">
      <w:pPr>
        <w:ind w:firstLine="0"/>
        <w:rPr>
          <w:rFonts w:ascii="Times New Roman" w:hAnsi="Times New Roman" w:cs="Times New Roman"/>
        </w:rPr>
      </w:pPr>
    </w:p>
    <w:p w14:paraId="6298276B" w14:textId="43244E64" w:rsidR="00286483" w:rsidRDefault="00286483" w:rsidP="00114EA6">
      <w:pPr>
        <w:ind w:firstLine="0"/>
        <w:rPr>
          <w:rFonts w:ascii="Times New Roman" w:hAnsi="Times New Roman" w:cs="Times New Roman"/>
          <w:b/>
          <w:bCs/>
          <w:sz w:val="28"/>
          <w:szCs w:val="28"/>
        </w:rPr>
      </w:pPr>
      <w:r w:rsidRPr="00286483">
        <w:rPr>
          <w:rFonts w:ascii="Times New Roman" w:hAnsi="Times New Roman" w:cs="Times New Roman"/>
          <w:b/>
          <w:bCs/>
          <w:sz w:val="28"/>
          <w:szCs w:val="28"/>
        </w:rPr>
        <w:t>Analyst Perspective</w:t>
      </w:r>
    </w:p>
    <w:p w14:paraId="746170DF" w14:textId="3D1BD5D7" w:rsidR="00286483" w:rsidRDefault="004E5D5B" w:rsidP="00114EA6">
      <w:pPr>
        <w:ind w:firstLine="0"/>
        <w:rPr>
          <w:rFonts w:ascii="Times New Roman" w:hAnsi="Times New Roman" w:cs="Times New Roman"/>
        </w:rPr>
      </w:pPr>
      <w:r w:rsidRPr="004E5D5B">
        <w:rPr>
          <w:rFonts w:ascii="Times New Roman" w:hAnsi="Times New Roman" w:cs="Times New Roman"/>
        </w:rPr>
        <w:t>From an equity research perspective, HDFC Bank should not be evaluated solely on absolute profit growth. Sustainable performance depends on the interaction between balance-sheet growth, margins, asset quality, operating efficiency and capital strength. Therefore, this analysis evaluates the bank across multiple financial and strategic dimensions before arriving at a valuation and investment view.</w:t>
      </w:r>
    </w:p>
    <w:p w14:paraId="49A292BD" w14:textId="77777777" w:rsidR="00575E9C" w:rsidRDefault="00575E9C" w:rsidP="00114EA6">
      <w:pPr>
        <w:ind w:firstLine="0"/>
        <w:rPr>
          <w:rFonts w:ascii="Times New Roman" w:hAnsi="Times New Roman" w:cs="Times New Roman"/>
        </w:rPr>
      </w:pPr>
    </w:p>
    <w:p w14:paraId="5B590F2B" w14:textId="41821EC6" w:rsidR="00575E9C" w:rsidRDefault="00575E9C" w:rsidP="00114EA6">
      <w:pPr>
        <w:ind w:firstLine="0"/>
        <w:rPr>
          <w:rFonts w:ascii="Times New Roman" w:hAnsi="Times New Roman" w:cs="Times New Roman"/>
          <w:b/>
          <w:bCs/>
          <w:sz w:val="28"/>
          <w:szCs w:val="28"/>
        </w:rPr>
      </w:pPr>
      <w:r w:rsidRPr="00575E9C">
        <w:rPr>
          <w:rFonts w:ascii="Times New Roman" w:hAnsi="Times New Roman" w:cs="Times New Roman"/>
          <w:b/>
          <w:bCs/>
          <w:sz w:val="28"/>
          <w:szCs w:val="28"/>
        </w:rPr>
        <w:t>Five-Year Financial Performance</w:t>
      </w:r>
    </w:p>
    <w:p w14:paraId="4510D581" w14:textId="77777777" w:rsidR="003456F7" w:rsidRPr="003456F7" w:rsidRDefault="003456F7" w:rsidP="00114EA6">
      <w:pPr>
        <w:ind w:firstLine="0"/>
        <w:rPr>
          <w:rFonts w:ascii="Times New Roman" w:hAnsi="Times New Roman" w:cs="Times New Roman"/>
        </w:rPr>
      </w:pPr>
      <w:r w:rsidRPr="003456F7">
        <w:rPr>
          <w:rFonts w:ascii="Times New Roman" w:hAnsi="Times New Roman" w:cs="Times New Roman"/>
        </w:rPr>
        <w:t>The five-year financial analysis evaluates HDFC Bank's earnings growth, balance-sheet expansion and profitability trends from FY2022 to FY2026. The analysis focuses on Net Interest Income (NII), Net Profit, loan growth, deposit growth and key banking performance indicators.</w:t>
      </w:r>
    </w:p>
    <w:p w14:paraId="31DB9480" w14:textId="77777777" w:rsidR="003456F7" w:rsidRPr="003456F7" w:rsidRDefault="003456F7" w:rsidP="00114EA6">
      <w:pPr>
        <w:ind w:firstLine="0"/>
        <w:rPr>
          <w:rFonts w:ascii="Times New Roman" w:hAnsi="Times New Roman" w:cs="Times New Roman"/>
        </w:rPr>
      </w:pPr>
      <w:r w:rsidRPr="003456F7">
        <w:rPr>
          <w:rFonts w:ascii="Times New Roman" w:hAnsi="Times New Roman" w:cs="Times New Roman"/>
        </w:rPr>
        <w:t>Over the period, HDFC Bank demonstrated continued expansion in its core banking operations. Net Interest Income increased from approximately ₹72,010 crore in FY2022 to ₹1,28,686 crore in FY2026, indicating substantial growth in the bank's core interest-based earnings.</w:t>
      </w:r>
    </w:p>
    <w:p w14:paraId="4FDCB5C9" w14:textId="77777777" w:rsidR="003456F7" w:rsidRPr="003456F7" w:rsidRDefault="003456F7" w:rsidP="00114EA6">
      <w:pPr>
        <w:ind w:firstLine="0"/>
        <w:rPr>
          <w:rFonts w:ascii="Times New Roman" w:hAnsi="Times New Roman" w:cs="Times New Roman"/>
        </w:rPr>
      </w:pPr>
      <w:r w:rsidRPr="003456F7">
        <w:rPr>
          <w:rFonts w:ascii="Times New Roman" w:hAnsi="Times New Roman" w:cs="Times New Roman"/>
        </w:rPr>
        <w:t>The increase in NII reflects the expansion of the bank's interest-earning asset base, supported by growth in loans and deposits. However, NII growth should be evaluated together with Net Interest Margin because a bank can increase NII through balance-sheet expansion even when its underlying margin performance changes.</w:t>
      </w:r>
    </w:p>
    <w:p w14:paraId="6136BE34" w14:textId="2145BFFE" w:rsidR="003456F7" w:rsidRDefault="003456F7" w:rsidP="00114EA6">
      <w:pPr>
        <w:ind w:firstLine="0"/>
        <w:rPr>
          <w:rFonts w:ascii="Times New Roman" w:hAnsi="Times New Roman" w:cs="Times New Roman"/>
          <w:b/>
          <w:bCs/>
        </w:rPr>
      </w:pPr>
      <w:r w:rsidRPr="003456F7">
        <w:rPr>
          <w:rFonts w:ascii="Times New Roman" w:hAnsi="Times New Roman" w:cs="Times New Roman"/>
        </w:rPr>
        <w:t>The bank also maintained strong profitability throughout the analysis period. The combination of NII growth, diversified income sources, controlled credit costs and a large operating scale supported the bank's overall earnings profile</w:t>
      </w:r>
      <w:r w:rsidR="00F262C0">
        <w:rPr>
          <w:rFonts w:ascii="Times New Roman" w:hAnsi="Times New Roman" w:cs="Times New Roman"/>
          <w:b/>
          <w:bCs/>
        </w:rPr>
        <w:t>.</w:t>
      </w:r>
    </w:p>
    <w:p w14:paraId="280F9A5C" w14:textId="77777777" w:rsidR="00F262C0" w:rsidRDefault="00F262C0" w:rsidP="00114EA6">
      <w:pPr>
        <w:ind w:firstLine="0"/>
        <w:rPr>
          <w:rFonts w:ascii="Times New Roman" w:hAnsi="Times New Roman" w:cs="Times New Roman"/>
          <w:b/>
          <w:bCs/>
        </w:rPr>
      </w:pPr>
    </w:p>
    <w:p w14:paraId="426750DF" w14:textId="736D7E9A" w:rsidR="00F262C0" w:rsidRDefault="00C100C8" w:rsidP="00114EA6">
      <w:pPr>
        <w:ind w:firstLine="0"/>
        <w:rPr>
          <w:rFonts w:ascii="Times New Roman" w:hAnsi="Times New Roman" w:cs="Times New Roman"/>
          <w:b/>
          <w:bCs/>
        </w:rPr>
      </w:pPr>
      <w:r w:rsidRPr="00C100C8">
        <w:rPr>
          <w:rFonts w:ascii="Times New Roman" w:hAnsi="Times New Roman" w:cs="Times New Roman"/>
          <w:b/>
          <w:bCs/>
        </w:rPr>
        <w:t>Net Interest Income Analysis</w:t>
      </w:r>
    </w:p>
    <w:p w14:paraId="4F626403" w14:textId="77777777" w:rsidR="00C100C8" w:rsidRPr="00C100C8" w:rsidRDefault="00C100C8" w:rsidP="00114EA6">
      <w:pPr>
        <w:ind w:firstLine="0"/>
        <w:rPr>
          <w:rFonts w:ascii="Times New Roman" w:hAnsi="Times New Roman" w:cs="Times New Roman"/>
        </w:rPr>
      </w:pPr>
      <w:r w:rsidRPr="00C100C8">
        <w:rPr>
          <w:rFonts w:ascii="Times New Roman" w:hAnsi="Times New Roman" w:cs="Times New Roman"/>
        </w:rPr>
        <w:t>Net Interest Income is one of the most important earnings indicators for a commercial bank. It represents the difference between interest earned on loans and other interest-earning assets and the interest paid on deposits and other funding sources.</w:t>
      </w:r>
    </w:p>
    <w:p w14:paraId="0CA3A67A" w14:textId="77777777" w:rsidR="00C100C8" w:rsidRPr="00C100C8" w:rsidRDefault="00C100C8" w:rsidP="00114EA6">
      <w:pPr>
        <w:ind w:firstLine="0"/>
        <w:rPr>
          <w:rFonts w:ascii="Times New Roman" w:hAnsi="Times New Roman" w:cs="Times New Roman"/>
        </w:rPr>
      </w:pPr>
      <w:r w:rsidRPr="00C100C8">
        <w:rPr>
          <w:rFonts w:ascii="Times New Roman" w:hAnsi="Times New Roman" w:cs="Times New Roman"/>
        </w:rPr>
        <w:t>HDFC Bank's NII increased from approximately ₹72,010 crore in FY2022 to ₹1,28,686 crore in FY2026. This represents a significant expansion in the bank's core interest income over the five-year period.</w:t>
      </w:r>
    </w:p>
    <w:p w14:paraId="7D36528F" w14:textId="77777777" w:rsidR="00C100C8" w:rsidRDefault="00C100C8" w:rsidP="00114EA6">
      <w:pPr>
        <w:ind w:firstLine="0"/>
        <w:rPr>
          <w:rFonts w:ascii="Times New Roman" w:hAnsi="Times New Roman" w:cs="Times New Roman"/>
        </w:rPr>
      </w:pPr>
      <w:r w:rsidRPr="00C100C8">
        <w:rPr>
          <w:rFonts w:ascii="Times New Roman" w:hAnsi="Times New Roman" w:cs="Times New Roman"/>
        </w:rPr>
        <w:t>The upward NII trend indicates that the bank has been able to expand its earning-asset base while maintaining positive growth in core banking income. The five-year NII trend is also presented graphically in the Excel dashboard.</w:t>
      </w:r>
    </w:p>
    <w:p w14:paraId="40B58D70" w14:textId="77777777" w:rsidR="00C100C8" w:rsidRDefault="00C100C8" w:rsidP="00114EA6">
      <w:pPr>
        <w:ind w:firstLine="0"/>
        <w:rPr>
          <w:rFonts w:ascii="Times New Roman" w:hAnsi="Times New Roman" w:cs="Times New Roman"/>
        </w:rPr>
      </w:pPr>
    </w:p>
    <w:p w14:paraId="672DC959" w14:textId="00A86B60" w:rsidR="00C100C8" w:rsidRDefault="00CD5170" w:rsidP="00114EA6">
      <w:pPr>
        <w:ind w:firstLine="0"/>
        <w:rPr>
          <w:rFonts w:ascii="Times New Roman" w:hAnsi="Times New Roman" w:cs="Times New Roman"/>
          <w:b/>
          <w:bCs/>
        </w:rPr>
      </w:pPr>
      <w:r w:rsidRPr="00CD5170">
        <w:rPr>
          <w:rFonts w:ascii="Times New Roman" w:hAnsi="Times New Roman" w:cs="Times New Roman"/>
          <w:b/>
          <w:bCs/>
        </w:rPr>
        <w:t>Net Interest Margin Analysis</w:t>
      </w:r>
    </w:p>
    <w:p w14:paraId="04818E25" w14:textId="77777777" w:rsidR="00CD5170" w:rsidRPr="00CD5170" w:rsidRDefault="00CD5170" w:rsidP="00114EA6">
      <w:pPr>
        <w:ind w:firstLine="0"/>
        <w:rPr>
          <w:rFonts w:ascii="Times New Roman" w:hAnsi="Times New Roman" w:cs="Times New Roman"/>
        </w:rPr>
      </w:pPr>
      <w:r w:rsidRPr="00CD5170">
        <w:rPr>
          <w:rFonts w:ascii="Times New Roman" w:hAnsi="Times New Roman" w:cs="Times New Roman"/>
        </w:rPr>
        <w:t>Net Interest Margin (NIM) measures the net interest income generated relative to the bank's interest-earning assets. It is an important indicator of the profitability of a bank's core lending and funding activities.</w:t>
      </w:r>
    </w:p>
    <w:p w14:paraId="7936C328" w14:textId="77777777" w:rsidR="00CD5170" w:rsidRPr="00CD5170" w:rsidRDefault="00CD5170" w:rsidP="00114EA6">
      <w:pPr>
        <w:ind w:firstLine="0"/>
        <w:rPr>
          <w:rFonts w:ascii="Times New Roman" w:hAnsi="Times New Roman" w:cs="Times New Roman"/>
        </w:rPr>
      </w:pPr>
      <w:r w:rsidRPr="00CD5170">
        <w:rPr>
          <w:rFonts w:ascii="Times New Roman" w:hAnsi="Times New Roman" w:cs="Times New Roman"/>
        </w:rPr>
        <w:lastRenderedPageBreak/>
        <w:t>HDFC Bank's NIM remained around the mid-3% range during the analysis period, with the FY2026 figure used in the model at approximately 3.5%.</w:t>
      </w:r>
    </w:p>
    <w:p w14:paraId="44E9CBB1" w14:textId="77777777" w:rsidR="00CD5170" w:rsidRDefault="00CD5170" w:rsidP="00114EA6">
      <w:pPr>
        <w:ind w:firstLine="0"/>
        <w:rPr>
          <w:rFonts w:ascii="Times New Roman" w:hAnsi="Times New Roman" w:cs="Times New Roman"/>
        </w:rPr>
      </w:pPr>
      <w:r w:rsidRPr="00CD5170">
        <w:rPr>
          <w:rFonts w:ascii="Times New Roman" w:hAnsi="Times New Roman" w:cs="Times New Roman"/>
        </w:rPr>
        <w:t>Maintaining a relatively stable NIM while expanding the balance sheet is important because excessive margin compression can reduce the benefit of loan growth. Therefore, future NIM performance remains an important variable in the forecast model.</w:t>
      </w:r>
    </w:p>
    <w:p w14:paraId="1D0C7430" w14:textId="77777777" w:rsidR="00CD5170" w:rsidRDefault="00CD5170" w:rsidP="00114EA6">
      <w:pPr>
        <w:ind w:firstLine="0"/>
        <w:rPr>
          <w:rFonts w:ascii="Times New Roman" w:hAnsi="Times New Roman" w:cs="Times New Roman"/>
        </w:rPr>
      </w:pPr>
    </w:p>
    <w:p w14:paraId="72BAFE85" w14:textId="131E575B" w:rsidR="00CD5170" w:rsidRDefault="00FF4F2B" w:rsidP="00114EA6">
      <w:pPr>
        <w:ind w:firstLine="0"/>
        <w:rPr>
          <w:rFonts w:ascii="Times New Roman" w:hAnsi="Times New Roman" w:cs="Times New Roman"/>
          <w:b/>
          <w:bCs/>
        </w:rPr>
      </w:pPr>
      <w:r w:rsidRPr="00FF4F2B">
        <w:rPr>
          <w:rFonts w:ascii="Times New Roman" w:hAnsi="Times New Roman" w:cs="Times New Roman"/>
          <w:b/>
          <w:bCs/>
        </w:rPr>
        <w:t>Loan &amp; Deposit Growth</w:t>
      </w:r>
    </w:p>
    <w:p w14:paraId="124120A5" w14:textId="77777777" w:rsidR="00FF4F2B" w:rsidRPr="00FF4F2B" w:rsidRDefault="00FF4F2B" w:rsidP="00114EA6">
      <w:pPr>
        <w:ind w:firstLine="0"/>
        <w:rPr>
          <w:rFonts w:ascii="Times New Roman" w:hAnsi="Times New Roman" w:cs="Times New Roman"/>
        </w:rPr>
      </w:pPr>
      <w:r w:rsidRPr="00FF4F2B">
        <w:rPr>
          <w:rFonts w:ascii="Times New Roman" w:hAnsi="Times New Roman" w:cs="Times New Roman"/>
        </w:rPr>
        <w:t>Loan growth represents the expansion of the bank's credit portfolio, while deposit growth represents the expansion of its funding base. Both indicators are important for evaluating the sustainability of a bank's balance-sheet growth.</w:t>
      </w:r>
    </w:p>
    <w:p w14:paraId="678E22D8" w14:textId="77777777" w:rsidR="00FF4F2B" w:rsidRPr="00FF4F2B" w:rsidRDefault="00FF4F2B" w:rsidP="00114EA6">
      <w:pPr>
        <w:ind w:firstLine="0"/>
        <w:rPr>
          <w:rFonts w:ascii="Times New Roman" w:hAnsi="Times New Roman" w:cs="Times New Roman"/>
        </w:rPr>
      </w:pPr>
      <w:r w:rsidRPr="00FF4F2B">
        <w:rPr>
          <w:rFonts w:ascii="Times New Roman" w:hAnsi="Times New Roman" w:cs="Times New Roman"/>
        </w:rPr>
        <w:t>In FY2026, the analysis uses approximately 11% loan growth and 14% deposit growth. The five-year analysis also shows a broad expansion in both loans and deposits.</w:t>
      </w:r>
    </w:p>
    <w:p w14:paraId="52DBAE8E" w14:textId="77777777" w:rsidR="00FF4F2B" w:rsidRDefault="00FF4F2B" w:rsidP="00114EA6">
      <w:pPr>
        <w:ind w:firstLine="0"/>
        <w:rPr>
          <w:rFonts w:ascii="Times New Roman" w:hAnsi="Times New Roman" w:cs="Times New Roman"/>
        </w:rPr>
      </w:pPr>
      <w:r w:rsidRPr="00FF4F2B">
        <w:rPr>
          <w:rFonts w:ascii="Times New Roman" w:hAnsi="Times New Roman" w:cs="Times New Roman"/>
        </w:rPr>
        <w:t>The Loans vs Deposits chart in the Excel dashboard demonstrates the bank's balance-sheet expansion over the analysis period. Strong deposit growth is particularly important because it provides funding capacity for future loan growth.</w:t>
      </w:r>
    </w:p>
    <w:p w14:paraId="0397AF0A" w14:textId="77777777" w:rsidR="00FF4F2B" w:rsidRDefault="00FF4F2B" w:rsidP="00114EA6">
      <w:pPr>
        <w:ind w:firstLine="0"/>
        <w:rPr>
          <w:rFonts w:ascii="Times New Roman" w:hAnsi="Times New Roman" w:cs="Times New Roman"/>
        </w:rPr>
      </w:pPr>
    </w:p>
    <w:p w14:paraId="6AF727C1" w14:textId="5D6D9B33" w:rsidR="00FF4F2B" w:rsidRDefault="002C406C" w:rsidP="00114EA6">
      <w:pPr>
        <w:ind w:firstLine="0"/>
        <w:rPr>
          <w:rFonts w:ascii="Times New Roman" w:hAnsi="Times New Roman" w:cs="Times New Roman"/>
          <w:b/>
          <w:bCs/>
        </w:rPr>
      </w:pPr>
      <w:r w:rsidRPr="002C406C">
        <w:rPr>
          <w:rFonts w:ascii="Times New Roman" w:hAnsi="Times New Roman" w:cs="Times New Roman"/>
          <w:b/>
          <w:bCs/>
        </w:rPr>
        <w:t>Profitability Analysis</w:t>
      </w:r>
    </w:p>
    <w:p w14:paraId="12FCE2C9" w14:textId="77777777" w:rsidR="002C406C" w:rsidRPr="002C406C" w:rsidRDefault="002C406C" w:rsidP="00114EA6">
      <w:pPr>
        <w:ind w:firstLine="0"/>
        <w:rPr>
          <w:rFonts w:ascii="Times New Roman" w:hAnsi="Times New Roman" w:cs="Times New Roman"/>
        </w:rPr>
      </w:pPr>
      <w:r w:rsidRPr="002C406C">
        <w:rPr>
          <w:rFonts w:ascii="Times New Roman" w:hAnsi="Times New Roman" w:cs="Times New Roman"/>
        </w:rPr>
        <w:t>Profitability was evaluated using Net Profit, Return on Assets (ROA) and Return on Equity (ROE). These measures help determine whether the bank is generating attractive returns from its asset base and shareholder capital.</w:t>
      </w:r>
    </w:p>
    <w:p w14:paraId="0A94EF32" w14:textId="77777777" w:rsidR="002C406C" w:rsidRPr="002C406C" w:rsidRDefault="002C406C" w:rsidP="00114EA6">
      <w:pPr>
        <w:ind w:firstLine="0"/>
        <w:rPr>
          <w:rFonts w:ascii="Times New Roman" w:hAnsi="Times New Roman" w:cs="Times New Roman"/>
        </w:rPr>
      </w:pPr>
      <w:r w:rsidRPr="002C406C">
        <w:rPr>
          <w:rFonts w:ascii="Times New Roman" w:hAnsi="Times New Roman" w:cs="Times New Roman"/>
        </w:rPr>
        <w:t>The FY2026 model uses approximately 1.9% ROA and 14.8% ROE, indicating a strong profitability profile. ROE is particularly relevant for shareholders because it measures the return generated on the equity capital invested in the bank.</w:t>
      </w:r>
    </w:p>
    <w:p w14:paraId="0EA91128" w14:textId="77777777" w:rsidR="002C406C" w:rsidRDefault="002C406C" w:rsidP="00114EA6">
      <w:pPr>
        <w:ind w:firstLine="0"/>
        <w:rPr>
          <w:rFonts w:ascii="Times New Roman" w:hAnsi="Times New Roman" w:cs="Times New Roman"/>
        </w:rPr>
      </w:pPr>
      <w:r w:rsidRPr="002C406C">
        <w:rPr>
          <w:rFonts w:ascii="Times New Roman" w:hAnsi="Times New Roman" w:cs="Times New Roman"/>
        </w:rPr>
        <w:t xml:space="preserve">The combination of earnings growth, strong capitalization and a large banking franchise </w:t>
      </w:r>
      <w:proofErr w:type="gramStart"/>
      <w:r w:rsidRPr="002C406C">
        <w:rPr>
          <w:rFonts w:ascii="Times New Roman" w:hAnsi="Times New Roman" w:cs="Times New Roman"/>
        </w:rPr>
        <w:t>provides</w:t>
      </w:r>
      <w:proofErr w:type="gramEnd"/>
      <w:r w:rsidRPr="002C406C">
        <w:rPr>
          <w:rFonts w:ascii="Times New Roman" w:hAnsi="Times New Roman" w:cs="Times New Roman"/>
        </w:rPr>
        <w:t xml:space="preserve"> a foundation for sustainable profitability. However, maintaining these returns will depend on future loan growth, NIM stability, operating efficiency and credit costs.</w:t>
      </w:r>
    </w:p>
    <w:p w14:paraId="7D159FB4" w14:textId="77777777" w:rsidR="002C406C" w:rsidRDefault="002C406C" w:rsidP="00114EA6">
      <w:pPr>
        <w:ind w:firstLine="0"/>
        <w:rPr>
          <w:rFonts w:ascii="Times New Roman" w:hAnsi="Times New Roman" w:cs="Times New Roman"/>
        </w:rPr>
      </w:pPr>
    </w:p>
    <w:p w14:paraId="34B9C7DE" w14:textId="734D604F" w:rsidR="002C406C" w:rsidRDefault="00B3005C" w:rsidP="00114EA6">
      <w:pPr>
        <w:ind w:firstLine="0"/>
        <w:rPr>
          <w:rFonts w:ascii="Times New Roman" w:hAnsi="Times New Roman" w:cs="Times New Roman"/>
          <w:b/>
          <w:bCs/>
          <w:sz w:val="28"/>
          <w:szCs w:val="28"/>
        </w:rPr>
      </w:pPr>
      <w:r w:rsidRPr="00B3005C">
        <w:rPr>
          <w:rFonts w:ascii="Times New Roman" w:hAnsi="Times New Roman" w:cs="Times New Roman"/>
          <w:b/>
          <w:bCs/>
          <w:sz w:val="28"/>
          <w:szCs w:val="28"/>
        </w:rPr>
        <w:t>Asset Quality &amp; Risk Analysis</w:t>
      </w:r>
    </w:p>
    <w:p w14:paraId="35FFE670" w14:textId="77777777" w:rsidR="00675EBA" w:rsidRPr="00675EBA" w:rsidRDefault="00675EBA" w:rsidP="00114EA6">
      <w:pPr>
        <w:ind w:firstLine="0"/>
        <w:rPr>
          <w:rFonts w:ascii="Times New Roman" w:hAnsi="Times New Roman" w:cs="Times New Roman"/>
        </w:rPr>
      </w:pPr>
      <w:r w:rsidRPr="00675EBA">
        <w:rPr>
          <w:rFonts w:ascii="Times New Roman" w:hAnsi="Times New Roman" w:cs="Times New Roman"/>
        </w:rPr>
        <w:t>Asset quality is a critical factor in evaluating a bank because deterioration in the loan portfolio can directly affect profitability through higher provisions and credit costs. This analysis therefore considers Gross Non-Performing Assets (GNPA), Net Non-Performing Assets (NNPA) and broader credit-risk indicators.</w:t>
      </w:r>
    </w:p>
    <w:p w14:paraId="353814A7" w14:textId="77777777" w:rsidR="00675EBA" w:rsidRPr="00675EBA" w:rsidRDefault="00675EBA" w:rsidP="00114EA6">
      <w:pPr>
        <w:ind w:firstLine="0"/>
        <w:rPr>
          <w:rFonts w:ascii="Times New Roman" w:hAnsi="Times New Roman" w:cs="Times New Roman"/>
        </w:rPr>
      </w:pPr>
      <w:r w:rsidRPr="00675EBA">
        <w:rPr>
          <w:rFonts w:ascii="Times New Roman" w:hAnsi="Times New Roman" w:cs="Times New Roman"/>
        </w:rPr>
        <w:lastRenderedPageBreak/>
        <w:t>HDFC Bank's asset-quality profile remained relatively controlled during the analysis period. The FY2026 model uses a GNPA ratio of approximately 1.25%, indicating that the proportion of gross loans classified as non-performing remained limited relative to the overall loan portfolio.</w:t>
      </w:r>
    </w:p>
    <w:p w14:paraId="437D2CD3" w14:textId="77777777" w:rsidR="00675EBA" w:rsidRPr="00675EBA" w:rsidRDefault="00675EBA" w:rsidP="00114EA6">
      <w:pPr>
        <w:ind w:firstLine="0"/>
        <w:rPr>
          <w:rFonts w:ascii="Times New Roman" w:hAnsi="Times New Roman" w:cs="Times New Roman"/>
        </w:rPr>
      </w:pPr>
      <w:r w:rsidRPr="00675EBA">
        <w:rPr>
          <w:rFonts w:ascii="Times New Roman" w:hAnsi="Times New Roman" w:cs="Times New Roman"/>
        </w:rPr>
        <w:t>Maintaining asset quality while expanding the loan book is particularly important because rapid credit growth can increase future credit risk if underwriting standards weaken. HDFC Bank's scale, diversified lending portfolio and risk-management framework are therefore important considerations when assessing sustainable growth.</w:t>
      </w:r>
    </w:p>
    <w:p w14:paraId="342D728B" w14:textId="77777777" w:rsidR="00675EBA" w:rsidRDefault="00675EBA" w:rsidP="00114EA6">
      <w:pPr>
        <w:ind w:firstLine="0"/>
        <w:rPr>
          <w:rFonts w:ascii="Times New Roman" w:hAnsi="Times New Roman" w:cs="Times New Roman"/>
        </w:rPr>
      </w:pPr>
      <w:r w:rsidRPr="00675EBA">
        <w:rPr>
          <w:rFonts w:ascii="Times New Roman" w:hAnsi="Times New Roman" w:cs="Times New Roman"/>
        </w:rPr>
        <w:t>From an investment perspective, the key risks to monitor are deterioration in GNPA and NNPA, rising credit costs, concentration in vulnerable lending segments and any significant weakening in underwriting quality.</w:t>
      </w:r>
    </w:p>
    <w:p w14:paraId="35F14EF3" w14:textId="77777777" w:rsidR="00675EBA" w:rsidRDefault="00675EBA" w:rsidP="00114EA6">
      <w:pPr>
        <w:ind w:firstLine="0"/>
        <w:rPr>
          <w:rFonts w:ascii="Times New Roman" w:hAnsi="Times New Roman" w:cs="Times New Roman"/>
        </w:rPr>
      </w:pPr>
    </w:p>
    <w:p w14:paraId="7C3883CE" w14:textId="55D07940" w:rsidR="00675EBA" w:rsidRDefault="00675EBA" w:rsidP="00114EA6">
      <w:pPr>
        <w:ind w:firstLine="0"/>
        <w:rPr>
          <w:rFonts w:ascii="Times New Roman" w:hAnsi="Times New Roman" w:cs="Times New Roman"/>
          <w:b/>
          <w:bCs/>
        </w:rPr>
      </w:pPr>
      <w:r w:rsidRPr="00675EBA">
        <w:rPr>
          <w:rFonts w:ascii="Times New Roman" w:hAnsi="Times New Roman" w:cs="Times New Roman"/>
          <w:b/>
          <w:bCs/>
        </w:rPr>
        <w:t>Key Banking Risks</w:t>
      </w:r>
    </w:p>
    <w:p w14:paraId="4B37A875" w14:textId="77777777" w:rsidR="00C9029C" w:rsidRPr="00C9029C" w:rsidRDefault="00C9029C" w:rsidP="00114EA6">
      <w:pPr>
        <w:ind w:firstLine="0"/>
        <w:rPr>
          <w:rFonts w:ascii="Times New Roman" w:hAnsi="Times New Roman" w:cs="Times New Roman"/>
        </w:rPr>
      </w:pPr>
      <w:r w:rsidRPr="00C9029C">
        <w:rPr>
          <w:rFonts w:ascii="Times New Roman" w:hAnsi="Times New Roman" w:cs="Times New Roman"/>
        </w:rPr>
        <w:t>Net Interest Margin Risk: A decline in NIM can reduce the profitability of the bank's core lending operations even when the loan book continues to grow.</w:t>
      </w:r>
    </w:p>
    <w:p w14:paraId="314670F0" w14:textId="77777777" w:rsidR="00C9029C" w:rsidRPr="00C9029C" w:rsidRDefault="00C9029C" w:rsidP="00114EA6">
      <w:pPr>
        <w:ind w:firstLine="0"/>
        <w:rPr>
          <w:rFonts w:ascii="Times New Roman" w:hAnsi="Times New Roman" w:cs="Times New Roman"/>
        </w:rPr>
      </w:pPr>
      <w:r w:rsidRPr="00C9029C">
        <w:rPr>
          <w:rFonts w:ascii="Times New Roman" w:hAnsi="Times New Roman" w:cs="Times New Roman"/>
        </w:rPr>
        <w:t>Credit Risk: Deterioration in borrower quality can increase GNPA, NNPA and credit provisions, negatively affecting profitability.</w:t>
      </w:r>
    </w:p>
    <w:p w14:paraId="76677842" w14:textId="77777777" w:rsidR="00C9029C" w:rsidRPr="00C9029C" w:rsidRDefault="00C9029C" w:rsidP="00114EA6">
      <w:pPr>
        <w:ind w:firstLine="0"/>
        <w:rPr>
          <w:rFonts w:ascii="Times New Roman" w:hAnsi="Times New Roman" w:cs="Times New Roman"/>
        </w:rPr>
      </w:pPr>
      <w:r w:rsidRPr="00C9029C">
        <w:rPr>
          <w:rFonts w:ascii="Times New Roman" w:hAnsi="Times New Roman" w:cs="Times New Roman"/>
        </w:rPr>
        <w:t>Funding Risk: Slower deposit growth relative to loan growth could increase pressure on the bank's funding costs.</w:t>
      </w:r>
    </w:p>
    <w:p w14:paraId="7A7D6A58" w14:textId="77777777" w:rsidR="00C9029C" w:rsidRPr="00C9029C" w:rsidRDefault="00C9029C" w:rsidP="00114EA6">
      <w:pPr>
        <w:ind w:firstLine="0"/>
        <w:rPr>
          <w:rFonts w:ascii="Times New Roman" w:hAnsi="Times New Roman" w:cs="Times New Roman"/>
        </w:rPr>
      </w:pPr>
      <w:r w:rsidRPr="00C9029C">
        <w:rPr>
          <w:rFonts w:ascii="Times New Roman" w:hAnsi="Times New Roman" w:cs="Times New Roman"/>
        </w:rPr>
        <w:t>Growth Risk: Aggressive loan expansion without adequate risk controls could result in higher future credit losses.</w:t>
      </w:r>
    </w:p>
    <w:p w14:paraId="3865A13D" w14:textId="77777777" w:rsidR="00C9029C" w:rsidRDefault="00C9029C" w:rsidP="00114EA6">
      <w:pPr>
        <w:ind w:firstLine="0"/>
        <w:rPr>
          <w:rFonts w:ascii="Times New Roman" w:hAnsi="Times New Roman" w:cs="Times New Roman"/>
        </w:rPr>
      </w:pPr>
      <w:r w:rsidRPr="00C9029C">
        <w:rPr>
          <w:rFonts w:ascii="Times New Roman" w:hAnsi="Times New Roman" w:cs="Times New Roman"/>
        </w:rPr>
        <w:t>Valuation Risk: Even if the underlying business performs well, a reduction in the P/B multiple assigned by the market could reduce shareholder returns.</w:t>
      </w:r>
    </w:p>
    <w:p w14:paraId="1768159A" w14:textId="77777777" w:rsidR="00C9029C" w:rsidRDefault="00C9029C" w:rsidP="00114EA6">
      <w:pPr>
        <w:ind w:firstLine="0"/>
        <w:rPr>
          <w:rFonts w:ascii="Times New Roman" w:hAnsi="Times New Roman" w:cs="Times New Roman"/>
        </w:rPr>
      </w:pPr>
    </w:p>
    <w:p w14:paraId="2A2D656B" w14:textId="088EAC39" w:rsidR="00C9029C" w:rsidRDefault="00C9029C" w:rsidP="00114EA6">
      <w:pPr>
        <w:ind w:firstLine="0"/>
        <w:rPr>
          <w:rFonts w:ascii="Times New Roman" w:hAnsi="Times New Roman" w:cs="Times New Roman"/>
          <w:b/>
          <w:bCs/>
        </w:rPr>
      </w:pPr>
      <w:r w:rsidRPr="00C9029C">
        <w:rPr>
          <w:rFonts w:ascii="Times New Roman" w:hAnsi="Times New Roman" w:cs="Times New Roman"/>
          <w:b/>
          <w:bCs/>
        </w:rPr>
        <w:t>Capital Adequacy</w:t>
      </w:r>
    </w:p>
    <w:p w14:paraId="008C21DA" w14:textId="77777777" w:rsidR="00C6354C" w:rsidRPr="00C6354C" w:rsidRDefault="00C6354C" w:rsidP="00114EA6">
      <w:pPr>
        <w:ind w:firstLine="0"/>
        <w:rPr>
          <w:rFonts w:ascii="Times New Roman" w:hAnsi="Times New Roman" w:cs="Times New Roman"/>
        </w:rPr>
      </w:pPr>
      <w:r w:rsidRPr="00C6354C">
        <w:rPr>
          <w:rFonts w:ascii="Times New Roman" w:hAnsi="Times New Roman" w:cs="Times New Roman"/>
        </w:rPr>
        <w:t>Capital adequacy measures the bank's ability to absorb potential losses while continuing normal operations. It is also important because adequate capital allows a bank to support future balance-sheet growth.</w:t>
      </w:r>
    </w:p>
    <w:p w14:paraId="1AFB6976" w14:textId="77777777" w:rsidR="00C6354C" w:rsidRPr="00C6354C" w:rsidRDefault="00C6354C" w:rsidP="00114EA6">
      <w:pPr>
        <w:ind w:firstLine="0"/>
        <w:rPr>
          <w:rFonts w:ascii="Times New Roman" w:hAnsi="Times New Roman" w:cs="Times New Roman"/>
        </w:rPr>
      </w:pPr>
      <w:r w:rsidRPr="00C6354C">
        <w:rPr>
          <w:rFonts w:ascii="Times New Roman" w:hAnsi="Times New Roman" w:cs="Times New Roman"/>
        </w:rPr>
        <w:t>HDFC Bank's FY2026 model uses a CRAR of approximately 19.2%, significantly above the regulatory benchmark used in this analysis. The bank's strong capital position provides a substantial buffer and supports its ability to withstand financial stress while continuing to expand its lending activities.</w:t>
      </w:r>
    </w:p>
    <w:p w14:paraId="3A098F5D" w14:textId="77777777" w:rsidR="00C6354C" w:rsidRDefault="00C6354C" w:rsidP="00114EA6">
      <w:pPr>
        <w:ind w:firstLine="0"/>
        <w:rPr>
          <w:rFonts w:ascii="Times New Roman" w:hAnsi="Times New Roman" w:cs="Times New Roman"/>
        </w:rPr>
      </w:pPr>
      <w:r w:rsidRPr="00C6354C">
        <w:rPr>
          <w:rFonts w:ascii="Times New Roman" w:hAnsi="Times New Roman" w:cs="Times New Roman"/>
        </w:rPr>
        <w:lastRenderedPageBreak/>
        <w:t>The capital adequacy analysis therefore represents one of the key strengths of the investment thesis. However, capital strength must be considered alongside returns on equity because excessive capital without sufficient earnings generation can reduce capital efficiency.</w:t>
      </w:r>
    </w:p>
    <w:p w14:paraId="0C4FB7AA" w14:textId="77777777" w:rsidR="00C6354C" w:rsidRDefault="00C6354C" w:rsidP="00114EA6">
      <w:pPr>
        <w:ind w:firstLine="0"/>
        <w:rPr>
          <w:rFonts w:ascii="Times New Roman" w:hAnsi="Times New Roman" w:cs="Times New Roman"/>
        </w:rPr>
      </w:pPr>
    </w:p>
    <w:p w14:paraId="2E936BA5" w14:textId="1B2E056D" w:rsidR="00C6354C" w:rsidRDefault="00C6354C" w:rsidP="00114EA6">
      <w:pPr>
        <w:ind w:firstLine="0"/>
        <w:rPr>
          <w:rFonts w:ascii="Times New Roman" w:hAnsi="Times New Roman" w:cs="Times New Roman"/>
          <w:b/>
          <w:bCs/>
        </w:rPr>
      </w:pPr>
      <w:r w:rsidRPr="00C6354C">
        <w:rPr>
          <w:rFonts w:ascii="Times New Roman" w:hAnsi="Times New Roman" w:cs="Times New Roman"/>
          <w:b/>
          <w:bCs/>
        </w:rPr>
        <w:t>Risk Assessment</w:t>
      </w:r>
    </w:p>
    <w:p w14:paraId="32103B49" w14:textId="77777777" w:rsidR="00780A5D" w:rsidRPr="00780A5D" w:rsidRDefault="00780A5D" w:rsidP="00114EA6">
      <w:pPr>
        <w:ind w:firstLine="0"/>
        <w:rPr>
          <w:rFonts w:ascii="Times New Roman" w:hAnsi="Times New Roman" w:cs="Times New Roman"/>
        </w:rPr>
      </w:pPr>
      <w:r w:rsidRPr="00780A5D">
        <w:rPr>
          <w:rFonts w:ascii="Times New Roman" w:hAnsi="Times New Roman" w:cs="Times New Roman"/>
        </w:rPr>
        <w:t>Overall, HDFC Bank's risk profile appears manageable under the assumptions used in this analysis. The primary risks to the investment thesis are not limited to asset quality; they also include margin compression, slower credit growth, rising funding costs and changes in market valuation.</w:t>
      </w:r>
    </w:p>
    <w:p w14:paraId="33BF30AB" w14:textId="77777777" w:rsidR="00780A5D" w:rsidRDefault="00780A5D" w:rsidP="00114EA6">
      <w:pPr>
        <w:ind w:firstLine="0"/>
        <w:rPr>
          <w:rFonts w:ascii="Times New Roman" w:hAnsi="Times New Roman" w:cs="Times New Roman"/>
        </w:rPr>
      </w:pPr>
      <w:r w:rsidRPr="00780A5D">
        <w:rPr>
          <w:rFonts w:ascii="Times New Roman" w:hAnsi="Times New Roman" w:cs="Times New Roman"/>
        </w:rPr>
        <w:t>The investment thesis therefore depends on the bank maintaining a balance between growth, profitability, asset quality and capital strength rather than maximizing any single metric.</w:t>
      </w:r>
    </w:p>
    <w:p w14:paraId="1B910016" w14:textId="77777777" w:rsidR="00780A5D" w:rsidRDefault="00780A5D" w:rsidP="00114EA6">
      <w:pPr>
        <w:ind w:firstLine="0"/>
        <w:rPr>
          <w:rFonts w:ascii="Times New Roman" w:hAnsi="Times New Roman" w:cs="Times New Roman"/>
        </w:rPr>
      </w:pPr>
    </w:p>
    <w:p w14:paraId="0453513B" w14:textId="48F05EB3" w:rsidR="00780A5D" w:rsidRDefault="006C36E4" w:rsidP="00114EA6">
      <w:pPr>
        <w:ind w:firstLine="0"/>
        <w:rPr>
          <w:rFonts w:ascii="Times New Roman" w:hAnsi="Times New Roman" w:cs="Times New Roman"/>
          <w:b/>
          <w:bCs/>
          <w:sz w:val="28"/>
          <w:szCs w:val="28"/>
        </w:rPr>
      </w:pPr>
      <w:r w:rsidRPr="006C36E4">
        <w:rPr>
          <w:rFonts w:ascii="Times New Roman" w:hAnsi="Times New Roman" w:cs="Times New Roman"/>
          <w:b/>
          <w:bCs/>
          <w:sz w:val="28"/>
          <w:szCs w:val="28"/>
        </w:rPr>
        <w:t>Peer Comparison &amp; Forward Outlook</w:t>
      </w:r>
    </w:p>
    <w:p w14:paraId="3DF238E2" w14:textId="77777777" w:rsidR="006C36E4" w:rsidRPr="006B1082" w:rsidRDefault="006C36E4" w:rsidP="00114EA6">
      <w:pPr>
        <w:ind w:firstLine="0"/>
        <w:rPr>
          <w:rFonts w:ascii="Times New Roman" w:hAnsi="Times New Roman" w:cs="Times New Roman"/>
        </w:rPr>
      </w:pPr>
      <w:r w:rsidRPr="006B1082">
        <w:rPr>
          <w:rFonts w:ascii="Times New Roman" w:hAnsi="Times New Roman" w:cs="Times New Roman"/>
        </w:rPr>
        <w:t>HDFC Bank was evaluated against selected large private-sector banking peers, namely ICICI Bank, Axis Bank and Kotak Mahindra Bank. Peer comparison provides context for assessing whether HDFC Bank's profitability, asset quality, capital position and growth profile are competitive within the private banking sector.</w:t>
      </w:r>
    </w:p>
    <w:p w14:paraId="107D0262" w14:textId="77777777" w:rsidR="006C36E4" w:rsidRPr="006B1082" w:rsidRDefault="006C36E4" w:rsidP="00114EA6">
      <w:pPr>
        <w:ind w:firstLine="0"/>
        <w:rPr>
          <w:rFonts w:ascii="Times New Roman" w:hAnsi="Times New Roman" w:cs="Times New Roman"/>
        </w:rPr>
      </w:pPr>
      <w:r w:rsidRPr="006B1082">
        <w:rPr>
          <w:rFonts w:ascii="Times New Roman" w:hAnsi="Times New Roman" w:cs="Times New Roman"/>
        </w:rPr>
        <w:t>The comparison considered key indicators including NIM, GNPA, ROA, ROE, CRAR, loan growth and deposit growth. HDFC Bank's key strengths in the comparison were its strong capitalization, large deposit franchise and relatively controlled asset-quality profile.</w:t>
      </w:r>
    </w:p>
    <w:p w14:paraId="26D119A2" w14:textId="77777777" w:rsidR="006C36E4" w:rsidRDefault="006C36E4" w:rsidP="00114EA6">
      <w:pPr>
        <w:ind w:firstLine="0"/>
        <w:rPr>
          <w:rFonts w:ascii="Times New Roman" w:hAnsi="Times New Roman" w:cs="Times New Roman"/>
        </w:rPr>
      </w:pPr>
      <w:r w:rsidRPr="006B1082">
        <w:rPr>
          <w:rFonts w:ascii="Times New Roman" w:hAnsi="Times New Roman" w:cs="Times New Roman"/>
        </w:rPr>
        <w:t>At the same time, the comparison highlights that individual metrics should not be evaluated in isolation. Some peers may demonstrate higher NIM or faster growth, while HDFC Bank's scale and balance-sheet strength provide different advantages. Therefore, the investment assessment focuses on the combination of growth, profitability, risk and valuation rather than ranking the bank on a single metric.</w:t>
      </w:r>
    </w:p>
    <w:p w14:paraId="32E277C7" w14:textId="77777777" w:rsidR="006B1082" w:rsidRDefault="006B1082" w:rsidP="00114EA6">
      <w:pPr>
        <w:ind w:firstLine="0"/>
        <w:rPr>
          <w:rFonts w:ascii="Times New Roman" w:hAnsi="Times New Roman" w:cs="Times New Roman"/>
        </w:rPr>
      </w:pPr>
    </w:p>
    <w:p w14:paraId="3A342E16" w14:textId="7692A08F" w:rsidR="006B1082" w:rsidRDefault="00B90130" w:rsidP="00114EA6">
      <w:pPr>
        <w:ind w:firstLine="0"/>
        <w:rPr>
          <w:rFonts w:ascii="Times New Roman" w:hAnsi="Times New Roman" w:cs="Times New Roman"/>
          <w:b/>
          <w:bCs/>
        </w:rPr>
      </w:pPr>
      <w:r w:rsidRPr="00B90130">
        <w:rPr>
          <w:rFonts w:ascii="Times New Roman" w:hAnsi="Times New Roman" w:cs="Times New Roman"/>
          <w:b/>
          <w:bCs/>
        </w:rPr>
        <w:t>Forecast Methodology</w:t>
      </w:r>
    </w:p>
    <w:p w14:paraId="7569112D" w14:textId="77777777" w:rsidR="00B90130" w:rsidRPr="00B90130" w:rsidRDefault="00B90130" w:rsidP="00114EA6">
      <w:pPr>
        <w:ind w:firstLine="0"/>
        <w:rPr>
          <w:rFonts w:ascii="Times New Roman" w:hAnsi="Times New Roman" w:cs="Times New Roman"/>
        </w:rPr>
      </w:pPr>
      <w:r w:rsidRPr="00B90130">
        <w:rPr>
          <w:rFonts w:ascii="Times New Roman" w:hAnsi="Times New Roman" w:cs="Times New Roman"/>
        </w:rPr>
        <w:t>A forward-looking financial model was developed for FY2027E–FY2030E using assumptions for loan growth, deposit growth, NII growth, PAT growth and NIM.</w:t>
      </w:r>
    </w:p>
    <w:p w14:paraId="5AC4D84B" w14:textId="77777777" w:rsidR="00B90130" w:rsidRPr="00B90130" w:rsidRDefault="00B90130" w:rsidP="00114EA6">
      <w:pPr>
        <w:ind w:firstLine="0"/>
        <w:rPr>
          <w:rFonts w:ascii="Times New Roman" w:hAnsi="Times New Roman" w:cs="Times New Roman"/>
        </w:rPr>
      </w:pPr>
      <w:r w:rsidRPr="00B90130">
        <w:rPr>
          <w:rFonts w:ascii="Times New Roman" w:hAnsi="Times New Roman" w:cs="Times New Roman"/>
        </w:rPr>
        <w:t>The forecast is designed as an analyst-driven scenario rather than an official company forecast. Historical performance and the bank's operating characteristics were used as the basis for establishing reasonable growth assumptions.</w:t>
      </w:r>
    </w:p>
    <w:p w14:paraId="4CAA9348" w14:textId="77777777" w:rsidR="00B90130" w:rsidRPr="00B90130" w:rsidRDefault="00B90130" w:rsidP="00114EA6">
      <w:pPr>
        <w:ind w:firstLine="0"/>
        <w:rPr>
          <w:rFonts w:ascii="Times New Roman" w:hAnsi="Times New Roman" w:cs="Times New Roman"/>
        </w:rPr>
      </w:pPr>
      <w:r w:rsidRPr="00B90130">
        <w:rPr>
          <w:rFonts w:ascii="Times New Roman" w:hAnsi="Times New Roman" w:cs="Times New Roman"/>
        </w:rPr>
        <w:lastRenderedPageBreak/>
        <w:t>Loan growth was assumed to remain in the low-double-digit range, while deposit growth was maintained at a broadly comparable level to support balance-sheet funding. NII and PAT growth were also projected to remain positive, with growth gradually moderating over the longer forecast period.</w:t>
      </w:r>
    </w:p>
    <w:p w14:paraId="46E1096C" w14:textId="77777777" w:rsidR="00B90130" w:rsidRDefault="00B90130" w:rsidP="00114EA6">
      <w:pPr>
        <w:ind w:firstLine="0"/>
        <w:rPr>
          <w:rFonts w:ascii="Times New Roman" w:hAnsi="Times New Roman" w:cs="Times New Roman"/>
        </w:rPr>
      </w:pPr>
      <w:r w:rsidRPr="00B90130">
        <w:rPr>
          <w:rFonts w:ascii="Times New Roman" w:hAnsi="Times New Roman" w:cs="Times New Roman"/>
        </w:rPr>
        <w:t>The model therefore attempts to balance growth potential with conservative long-term assumptions rather than extrapolating unusually high historical growth indefinitely.</w:t>
      </w:r>
    </w:p>
    <w:p w14:paraId="3F1F6AAD" w14:textId="77777777" w:rsidR="00B90130" w:rsidRDefault="00B90130" w:rsidP="00114EA6">
      <w:pPr>
        <w:ind w:firstLine="0"/>
        <w:rPr>
          <w:rFonts w:ascii="Times New Roman" w:hAnsi="Times New Roman" w:cs="Times New Roman"/>
        </w:rPr>
      </w:pPr>
    </w:p>
    <w:p w14:paraId="7ACFCF5A" w14:textId="371E6332" w:rsidR="005B3109" w:rsidRDefault="00E47F50" w:rsidP="00114EA6">
      <w:pPr>
        <w:ind w:firstLine="0"/>
        <w:rPr>
          <w:rFonts w:ascii="Times New Roman" w:hAnsi="Times New Roman" w:cs="Times New Roman"/>
          <w:b/>
          <w:bCs/>
        </w:rPr>
      </w:pPr>
      <w:r w:rsidRPr="00E47F50">
        <w:rPr>
          <w:rFonts w:ascii="Times New Roman" w:hAnsi="Times New Roman" w:cs="Times New Roman"/>
          <w:b/>
          <w:bCs/>
        </w:rPr>
        <w:t>Key Forecast Assumptions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847"/>
        <w:gridCol w:w="847"/>
        <w:gridCol w:w="847"/>
        <w:gridCol w:w="862"/>
      </w:tblGrid>
      <w:tr w:rsidR="00E47F50" w:rsidRPr="00E47F50" w14:paraId="2660A313" w14:textId="77777777">
        <w:trPr>
          <w:tblHeader/>
          <w:tblCellSpacing w:w="15" w:type="dxa"/>
        </w:trPr>
        <w:tc>
          <w:tcPr>
            <w:tcW w:w="0" w:type="auto"/>
            <w:vAlign w:val="center"/>
            <w:hideMark/>
          </w:tcPr>
          <w:p w14:paraId="2213150D"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Assumption</w:t>
            </w:r>
          </w:p>
        </w:tc>
        <w:tc>
          <w:tcPr>
            <w:tcW w:w="0" w:type="auto"/>
            <w:vAlign w:val="center"/>
            <w:hideMark/>
          </w:tcPr>
          <w:p w14:paraId="511B4759" w14:textId="4F9ADFDA"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FY2027</w:t>
            </w:r>
          </w:p>
        </w:tc>
        <w:tc>
          <w:tcPr>
            <w:tcW w:w="0" w:type="auto"/>
            <w:vAlign w:val="center"/>
            <w:hideMark/>
          </w:tcPr>
          <w:p w14:paraId="1E8D00F1" w14:textId="29909BBC"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FY2028</w:t>
            </w:r>
          </w:p>
        </w:tc>
        <w:tc>
          <w:tcPr>
            <w:tcW w:w="0" w:type="auto"/>
            <w:vAlign w:val="center"/>
            <w:hideMark/>
          </w:tcPr>
          <w:p w14:paraId="2269EEB3" w14:textId="038A7F46"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FY2029</w:t>
            </w:r>
          </w:p>
        </w:tc>
        <w:tc>
          <w:tcPr>
            <w:tcW w:w="0" w:type="auto"/>
            <w:vAlign w:val="center"/>
            <w:hideMark/>
          </w:tcPr>
          <w:p w14:paraId="54F71800" w14:textId="73414212"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FY2030</w:t>
            </w:r>
          </w:p>
        </w:tc>
      </w:tr>
      <w:tr w:rsidR="00E47F50" w:rsidRPr="00E47F50" w14:paraId="0F1799C5" w14:textId="77777777">
        <w:trPr>
          <w:tblCellSpacing w:w="15" w:type="dxa"/>
        </w:trPr>
        <w:tc>
          <w:tcPr>
            <w:tcW w:w="0" w:type="auto"/>
            <w:vAlign w:val="center"/>
            <w:hideMark/>
          </w:tcPr>
          <w:p w14:paraId="645CD908"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Loan Growth</w:t>
            </w:r>
          </w:p>
        </w:tc>
        <w:tc>
          <w:tcPr>
            <w:tcW w:w="0" w:type="auto"/>
            <w:vAlign w:val="center"/>
            <w:hideMark/>
          </w:tcPr>
          <w:p w14:paraId="58FEEC89"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12%</w:t>
            </w:r>
          </w:p>
        </w:tc>
        <w:tc>
          <w:tcPr>
            <w:tcW w:w="0" w:type="auto"/>
            <w:vAlign w:val="center"/>
            <w:hideMark/>
          </w:tcPr>
          <w:p w14:paraId="46C51B6F"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12%</w:t>
            </w:r>
          </w:p>
        </w:tc>
        <w:tc>
          <w:tcPr>
            <w:tcW w:w="0" w:type="auto"/>
            <w:vAlign w:val="center"/>
            <w:hideMark/>
          </w:tcPr>
          <w:p w14:paraId="12BA5F19"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13%</w:t>
            </w:r>
          </w:p>
        </w:tc>
        <w:tc>
          <w:tcPr>
            <w:tcW w:w="0" w:type="auto"/>
            <w:vAlign w:val="center"/>
            <w:hideMark/>
          </w:tcPr>
          <w:p w14:paraId="12DEF988"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13%</w:t>
            </w:r>
          </w:p>
        </w:tc>
      </w:tr>
      <w:tr w:rsidR="00E47F50" w:rsidRPr="00E47F50" w14:paraId="6CC31FEE" w14:textId="77777777">
        <w:trPr>
          <w:tblCellSpacing w:w="15" w:type="dxa"/>
        </w:trPr>
        <w:tc>
          <w:tcPr>
            <w:tcW w:w="0" w:type="auto"/>
            <w:vAlign w:val="center"/>
            <w:hideMark/>
          </w:tcPr>
          <w:p w14:paraId="1772D95C"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Deposit Growth</w:t>
            </w:r>
          </w:p>
        </w:tc>
        <w:tc>
          <w:tcPr>
            <w:tcW w:w="0" w:type="auto"/>
            <w:vAlign w:val="center"/>
            <w:hideMark/>
          </w:tcPr>
          <w:p w14:paraId="2C095A24"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13%</w:t>
            </w:r>
          </w:p>
        </w:tc>
        <w:tc>
          <w:tcPr>
            <w:tcW w:w="0" w:type="auto"/>
            <w:vAlign w:val="center"/>
            <w:hideMark/>
          </w:tcPr>
          <w:p w14:paraId="7DD3E7FF"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13%</w:t>
            </w:r>
          </w:p>
        </w:tc>
        <w:tc>
          <w:tcPr>
            <w:tcW w:w="0" w:type="auto"/>
            <w:vAlign w:val="center"/>
            <w:hideMark/>
          </w:tcPr>
          <w:p w14:paraId="4578286F"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13%</w:t>
            </w:r>
          </w:p>
        </w:tc>
        <w:tc>
          <w:tcPr>
            <w:tcW w:w="0" w:type="auto"/>
            <w:vAlign w:val="center"/>
            <w:hideMark/>
          </w:tcPr>
          <w:p w14:paraId="2DB3FB79"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13%</w:t>
            </w:r>
          </w:p>
        </w:tc>
      </w:tr>
      <w:tr w:rsidR="00E47F50" w:rsidRPr="00E47F50" w14:paraId="7983F749" w14:textId="77777777">
        <w:trPr>
          <w:tblCellSpacing w:w="15" w:type="dxa"/>
        </w:trPr>
        <w:tc>
          <w:tcPr>
            <w:tcW w:w="0" w:type="auto"/>
            <w:vAlign w:val="center"/>
            <w:hideMark/>
          </w:tcPr>
          <w:p w14:paraId="14ACD889"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NII Growth</w:t>
            </w:r>
          </w:p>
        </w:tc>
        <w:tc>
          <w:tcPr>
            <w:tcW w:w="0" w:type="auto"/>
            <w:vAlign w:val="center"/>
            <w:hideMark/>
          </w:tcPr>
          <w:p w14:paraId="45FBC8F9"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10%</w:t>
            </w:r>
          </w:p>
        </w:tc>
        <w:tc>
          <w:tcPr>
            <w:tcW w:w="0" w:type="auto"/>
            <w:vAlign w:val="center"/>
            <w:hideMark/>
          </w:tcPr>
          <w:p w14:paraId="6759E40D"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11%</w:t>
            </w:r>
          </w:p>
        </w:tc>
        <w:tc>
          <w:tcPr>
            <w:tcW w:w="0" w:type="auto"/>
            <w:vAlign w:val="center"/>
            <w:hideMark/>
          </w:tcPr>
          <w:p w14:paraId="7E8EC0A1"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11%</w:t>
            </w:r>
          </w:p>
        </w:tc>
        <w:tc>
          <w:tcPr>
            <w:tcW w:w="0" w:type="auto"/>
            <w:vAlign w:val="center"/>
            <w:hideMark/>
          </w:tcPr>
          <w:p w14:paraId="4580CEA2"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10%</w:t>
            </w:r>
          </w:p>
        </w:tc>
      </w:tr>
      <w:tr w:rsidR="00E47F50" w:rsidRPr="00E47F50" w14:paraId="5E029F81" w14:textId="77777777">
        <w:trPr>
          <w:tblCellSpacing w:w="15" w:type="dxa"/>
        </w:trPr>
        <w:tc>
          <w:tcPr>
            <w:tcW w:w="0" w:type="auto"/>
            <w:vAlign w:val="center"/>
            <w:hideMark/>
          </w:tcPr>
          <w:p w14:paraId="56B2B4F0"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PAT Growth</w:t>
            </w:r>
          </w:p>
        </w:tc>
        <w:tc>
          <w:tcPr>
            <w:tcW w:w="0" w:type="auto"/>
            <w:vAlign w:val="center"/>
            <w:hideMark/>
          </w:tcPr>
          <w:p w14:paraId="20D43A20"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12%</w:t>
            </w:r>
          </w:p>
        </w:tc>
        <w:tc>
          <w:tcPr>
            <w:tcW w:w="0" w:type="auto"/>
            <w:vAlign w:val="center"/>
            <w:hideMark/>
          </w:tcPr>
          <w:p w14:paraId="08C6966D"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12%</w:t>
            </w:r>
          </w:p>
        </w:tc>
        <w:tc>
          <w:tcPr>
            <w:tcW w:w="0" w:type="auto"/>
            <w:vAlign w:val="center"/>
            <w:hideMark/>
          </w:tcPr>
          <w:p w14:paraId="45857AEF"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11%</w:t>
            </w:r>
          </w:p>
        </w:tc>
        <w:tc>
          <w:tcPr>
            <w:tcW w:w="0" w:type="auto"/>
            <w:vAlign w:val="center"/>
            <w:hideMark/>
          </w:tcPr>
          <w:p w14:paraId="2CCA0A87"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10%</w:t>
            </w:r>
          </w:p>
        </w:tc>
      </w:tr>
      <w:tr w:rsidR="00E47F50" w:rsidRPr="00E47F50" w14:paraId="28CE5421" w14:textId="77777777">
        <w:trPr>
          <w:tblCellSpacing w:w="15" w:type="dxa"/>
        </w:trPr>
        <w:tc>
          <w:tcPr>
            <w:tcW w:w="0" w:type="auto"/>
            <w:vAlign w:val="center"/>
            <w:hideMark/>
          </w:tcPr>
          <w:p w14:paraId="25ADF620"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NIM</w:t>
            </w:r>
          </w:p>
        </w:tc>
        <w:tc>
          <w:tcPr>
            <w:tcW w:w="0" w:type="auto"/>
            <w:vAlign w:val="center"/>
            <w:hideMark/>
          </w:tcPr>
          <w:p w14:paraId="1DC7F06F"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3.5%</w:t>
            </w:r>
          </w:p>
        </w:tc>
        <w:tc>
          <w:tcPr>
            <w:tcW w:w="0" w:type="auto"/>
            <w:vAlign w:val="center"/>
            <w:hideMark/>
          </w:tcPr>
          <w:p w14:paraId="1A5F9EC1"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3.5%</w:t>
            </w:r>
          </w:p>
        </w:tc>
        <w:tc>
          <w:tcPr>
            <w:tcW w:w="0" w:type="auto"/>
            <w:vAlign w:val="center"/>
            <w:hideMark/>
          </w:tcPr>
          <w:p w14:paraId="615A1014" w14:textId="77777777" w:rsidR="00E47F50" w:rsidRPr="00E47F50" w:rsidRDefault="00E47F50" w:rsidP="00114EA6">
            <w:pPr>
              <w:ind w:firstLine="0"/>
              <w:rPr>
                <w:rFonts w:ascii="Times New Roman" w:hAnsi="Times New Roman" w:cs="Times New Roman"/>
              </w:rPr>
            </w:pPr>
            <w:r w:rsidRPr="00E47F50">
              <w:rPr>
                <w:rFonts w:ascii="Times New Roman" w:hAnsi="Times New Roman" w:cs="Times New Roman"/>
              </w:rPr>
              <w:t>3.5%</w:t>
            </w:r>
          </w:p>
        </w:tc>
        <w:tc>
          <w:tcPr>
            <w:tcW w:w="0" w:type="auto"/>
            <w:vAlign w:val="center"/>
            <w:hideMark/>
          </w:tcPr>
          <w:p w14:paraId="5727B16C" w14:textId="103C27B5" w:rsidR="009C3877" w:rsidRPr="00E47F50" w:rsidRDefault="00E47F50" w:rsidP="00114EA6">
            <w:pPr>
              <w:ind w:firstLine="0"/>
              <w:rPr>
                <w:rFonts w:ascii="Times New Roman" w:hAnsi="Times New Roman" w:cs="Times New Roman"/>
              </w:rPr>
            </w:pPr>
            <w:r w:rsidRPr="00E47F50">
              <w:rPr>
                <w:rFonts w:ascii="Times New Roman" w:hAnsi="Times New Roman" w:cs="Times New Roman"/>
              </w:rPr>
              <w:t>3.5%</w:t>
            </w:r>
          </w:p>
        </w:tc>
      </w:tr>
    </w:tbl>
    <w:p w14:paraId="13960C25" w14:textId="77777777" w:rsidR="00E47F50" w:rsidRDefault="00E47F50" w:rsidP="00114EA6">
      <w:pPr>
        <w:ind w:firstLine="0"/>
        <w:rPr>
          <w:rFonts w:ascii="Times New Roman" w:hAnsi="Times New Roman" w:cs="Times New Roman"/>
          <w:b/>
          <w:bCs/>
        </w:rPr>
      </w:pPr>
    </w:p>
    <w:p w14:paraId="2166A04F" w14:textId="6C81CC37" w:rsidR="009C3877" w:rsidRDefault="009C3877" w:rsidP="00114EA6">
      <w:pPr>
        <w:ind w:firstLine="0"/>
        <w:rPr>
          <w:rFonts w:ascii="Times New Roman" w:hAnsi="Times New Roman" w:cs="Times New Roman"/>
        </w:rPr>
      </w:pPr>
      <w:r w:rsidRPr="009C3877">
        <w:rPr>
          <w:rFonts w:ascii="Times New Roman" w:hAnsi="Times New Roman" w:cs="Times New Roman"/>
        </w:rPr>
        <w:t xml:space="preserve">These assumptions represent the analyst's </w:t>
      </w:r>
      <w:proofErr w:type="spellStart"/>
      <w:r w:rsidRPr="009C3877">
        <w:rPr>
          <w:rFonts w:ascii="Times New Roman" w:hAnsi="Times New Roman" w:cs="Times New Roman"/>
        </w:rPr>
        <w:t>modeling</w:t>
      </w:r>
      <w:proofErr w:type="spellEnd"/>
      <w:r w:rsidRPr="009C3877">
        <w:rPr>
          <w:rFonts w:ascii="Times New Roman" w:hAnsi="Times New Roman" w:cs="Times New Roman"/>
        </w:rPr>
        <w:t xml:space="preserve"> framework and should not be interpreted as management guidance or guaranteed future performance.</w:t>
      </w:r>
    </w:p>
    <w:p w14:paraId="06BD41BC" w14:textId="77777777" w:rsidR="009C3877" w:rsidRDefault="009C3877" w:rsidP="00114EA6">
      <w:pPr>
        <w:ind w:firstLine="0"/>
        <w:rPr>
          <w:rFonts w:ascii="Times New Roman" w:hAnsi="Times New Roman" w:cs="Times New Roman"/>
        </w:rPr>
      </w:pPr>
    </w:p>
    <w:p w14:paraId="457F9E39" w14:textId="329A4C59" w:rsidR="007113B7" w:rsidRDefault="007113B7" w:rsidP="00114EA6">
      <w:pPr>
        <w:ind w:firstLine="0"/>
        <w:rPr>
          <w:rFonts w:ascii="Times New Roman" w:hAnsi="Times New Roman" w:cs="Times New Roman"/>
          <w:b/>
          <w:bCs/>
        </w:rPr>
      </w:pPr>
      <w:r w:rsidRPr="007113B7">
        <w:rPr>
          <w:rFonts w:ascii="Times New Roman" w:hAnsi="Times New Roman" w:cs="Times New Roman"/>
          <w:b/>
          <w:bCs/>
        </w:rPr>
        <w:t>Forward Outlook</w:t>
      </w:r>
    </w:p>
    <w:p w14:paraId="5BB3728C" w14:textId="77777777" w:rsidR="007113B7" w:rsidRPr="007113B7" w:rsidRDefault="007113B7" w:rsidP="00114EA6">
      <w:pPr>
        <w:ind w:firstLine="0"/>
        <w:rPr>
          <w:rFonts w:ascii="Times New Roman" w:hAnsi="Times New Roman" w:cs="Times New Roman"/>
        </w:rPr>
      </w:pPr>
      <w:r w:rsidRPr="007113B7">
        <w:rPr>
          <w:rFonts w:ascii="Times New Roman" w:hAnsi="Times New Roman" w:cs="Times New Roman"/>
        </w:rPr>
        <w:t>The forecast indicates continued expansion in HDFC Bank's core earnings, supported by loan growth, deposit expansion and stable margins. However, the model incorporates gradual moderation in growth rates over time to reflect the increasing scale of the bank and the uncertainty associated with long-term forecasting.</w:t>
      </w:r>
    </w:p>
    <w:p w14:paraId="0E3E5927" w14:textId="77777777" w:rsidR="007113B7" w:rsidRDefault="007113B7" w:rsidP="00114EA6">
      <w:pPr>
        <w:ind w:firstLine="0"/>
        <w:rPr>
          <w:rFonts w:ascii="Times New Roman" w:hAnsi="Times New Roman" w:cs="Times New Roman"/>
        </w:rPr>
      </w:pPr>
      <w:r w:rsidRPr="007113B7">
        <w:rPr>
          <w:rFonts w:ascii="Times New Roman" w:hAnsi="Times New Roman" w:cs="Times New Roman"/>
        </w:rPr>
        <w:t>The key variables that could cause actual results to differ from the forecast are changes in interest rates, credit demand, deposit competition, funding costs, asset quality and the broader economic environment.</w:t>
      </w:r>
    </w:p>
    <w:p w14:paraId="21BBB414" w14:textId="77777777" w:rsidR="007113B7" w:rsidRDefault="007113B7" w:rsidP="00114EA6">
      <w:pPr>
        <w:ind w:firstLine="0"/>
        <w:rPr>
          <w:rFonts w:ascii="Times New Roman" w:hAnsi="Times New Roman" w:cs="Times New Roman"/>
        </w:rPr>
      </w:pPr>
    </w:p>
    <w:p w14:paraId="5EC56013" w14:textId="04E74A83" w:rsidR="00565EC0" w:rsidRPr="00565EC0" w:rsidRDefault="00565EC0" w:rsidP="00114EA6">
      <w:pPr>
        <w:ind w:firstLine="0"/>
        <w:rPr>
          <w:rFonts w:ascii="Times New Roman" w:hAnsi="Times New Roman" w:cs="Times New Roman"/>
          <w:b/>
          <w:bCs/>
          <w:sz w:val="28"/>
          <w:szCs w:val="28"/>
        </w:rPr>
      </w:pPr>
      <w:r w:rsidRPr="00565EC0">
        <w:rPr>
          <w:rFonts w:ascii="Times New Roman" w:hAnsi="Times New Roman" w:cs="Times New Roman"/>
          <w:b/>
          <w:bCs/>
          <w:sz w:val="28"/>
          <w:szCs w:val="28"/>
        </w:rPr>
        <w:t>Valuation</w:t>
      </w:r>
    </w:p>
    <w:p w14:paraId="42195085" w14:textId="77777777" w:rsidR="004F3653" w:rsidRPr="004F3653" w:rsidRDefault="004F3653" w:rsidP="00114EA6">
      <w:pPr>
        <w:ind w:firstLine="0"/>
        <w:rPr>
          <w:rFonts w:ascii="Times New Roman" w:hAnsi="Times New Roman" w:cs="Times New Roman"/>
        </w:rPr>
      </w:pPr>
      <w:r w:rsidRPr="004F3653">
        <w:rPr>
          <w:rFonts w:ascii="Times New Roman" w:hAnsi="Times New Roman" w:cs="Times New Roman"/>
        </w:rPr>
        <w:t>Valuation was performed using a Price-to-Book (P/B) multiple approach, which is particularly relevant for banking institutions because book value represents the underlying equity capital supporting the bank's lending and financial activities.</w:t>
      </w:r>
    </w:p>
    <w:p w14:paraId="6032C8B8" w14:textId="77777777" w:rsidR="004F3653" w:rsidRPr="004F3653" w:rsidRDefault="004F3653" w:rsidP="00114EA6">
      <w:pPr>
        <w:ind w:firstLine="0"/>
        <w:rPr>
          <w:rFonts w:ascii="Times New Roman" w:hAnsi="Times New Roman" w:cs="Times New Roman"/>
        </w:rPr>
      </w:pPr>
      <w:r w:rsidRPr="004F3653">
        <w:rPr>
          <w:rFonts w:ascii="Times New Roman" w:hAnsi="Times New Roman" w:cs="Times New Roman"/>
        </w:rPr>
        <w:lastRenderedPageBreak/>
        <w:t xml:space="preserve">HDFC Bank's FY2026 standalone book value per share was ₹366, according to the bank's Q4 FY2026 investor presentation. </w:t>
      </w:r>
    </w:p>
    <w:p w14:paraId="174B22D9" w14:textId="77777777" w:rsidR="004F3653" w:rsidRPr="004F3653" w:rsidRDefault="004F3653" w:rsidP="00114EA6">
      <w:pPr>
        <w:ind w:firstLine="0"/>
        <w:rPr>
          <w:rFonts w:ascii="Times New Roman" w:hAnsi="Times New Roman" w:cs="Times New Roman"/>
        </w:rPr>
      </w:pPr>
      <w:r w:rsidRPr="004F3653">
        <w:rPr>
          <w:rFonts w:ascii="Times New Roman" w:hAnsi="Times New Roman" w:cs="Times New Roman"/>
        </w:rPr>
        <w:t>Using the reference share price of ₹732.90, the model calculates a current P/B multiple of approximately 2.00×.</w:t>
      </w:r>
    </w:p>
    <w:p w14:paraId="388496CE" w14:textId="77777777" w:rsidR="004F3653" w:rsidRPr="004F3653" w:rsidRDefault="004F3653" w:rsidP="00114EA6">
      <w:pPr>
        <w:ind w:firstLine="0"/>
        <w:rPr>
          <w:rFonts w:ascii="Times New Roman" w:hAnsi="Times New Roman" w:cs="Times New Roman"/>
        </w:rPr>
      </w:pPr>
      <w:r w:rsidRPr="004F3653">
        <w:rPr>
          <w:rFonts w:ascii="Times New Roman" w:hAnsi="Times New Roman" w:cs="Times New Roman"/>
        </w:rPr>
        <w:t>For the base case, the model assumes 12% book-value growth, resulting in an estimated FY2027 book value per share of approximately ₹409.92. A target P/B multiple of 2.20× is then applied to the forecast book value.</w:t>
      </w:r>
    </w:p>
    <w:p w14:paraId="519A2A9C" w14:textId="77777777" w:rsidR="004F3653" w:rsidRPr="004F3653" w:rsidRDefault="004F3653" w:rsidP="00114EA6">
      <w:pPr>
        <w:ind w:firstLine="0"/>
        <w:rPr>
          <w:rFonts w:ascii="Times New Roman" w:hAnsi="Times New Roman" w:cs="Times New Roman"/>
        </w:rPr>
      </w:pPr>
      <w:r w:rsidRPr="004F3653">
        <w:rPr>
          <w:rFonts w:ascii="Times New Roman" w:hAnsi="Times New Roman" w:cs="Times New Roman"/>
        </w:rPr>
        <w:t>This produces an implied FY2027 share price of approximately ₹901.82, compared with the reference price of ₹732.90. The resulting potential upside is approximately 23%.</w:t>
      </w:r>
    </w:p>
    <w:p w14:paraId="22619158" w14:textId="77777777" w:rsidR="004F3653" w:rsidRDefault="004F3653" w:rsidP="00114EA6">
      <w:pPr>
        <w:ind w:firstLine="0"/>
        <w:rPr>
          <w:rFonts w:ascii="Times New Roman" w:hAnsi="Times New Roman" w:cs="Times New Roman"/>
        </w:rPr>
      </w:pPr>
      <w:r w:rsidRPr="004F3653">
        <w:rPr>
          <w:rFonts w:ascii="Times New Roman" w:hAnsi="Times New Roman" w:cs="Times New Roman"/>
        </w:rPr>
        <w:t>The valuation should be interpreted as a model-based estimate rather than a guaranteed future share price. The actual market valuation will depend on earnings growth, return on equity, asset quality, interest rates, investor sentiment and the valuation multiples assigned to the banking sector.</w:t>
      </w:r>
    </w:p>
    <w:p w14:paraId="2A3A2DD1" w14:textId="77777777" w:rsidR="004F3653" w:rsidRDefault="004F3653" w:rsidP="00114EA6">
      <w:pPr>
        <w:ind w:firstLine="0"/>
        <w:rPr>
          <w:rFonts w:ascii="Times New Roman" w:hAnsi="Times New Roman" w:cs="Times New Roman"/>
        </w:rPr>
      </w:pPr>
    </w:p>
    <w:p w14:paraId="041C55BC" w14:textId="3B7DDF94" w:rsidR="00B6238E" w:rsidRDefault="00B6238E" w:rsidP="00114EA6">
      <w:pPr>
        <w:ind w:firstLine="0"/>
        <w:rPr>
          <w:rFonts w:ascii="Times New Roman" w:hAnsi="Times New Roman" w:cs="Times New Roman"/>
          <w:b/>
          <w:bCs/>
          <w:sz w:val="28"/>
          <w:szCs w:val="28"/>
        </w:rPr>
      </w:pPr>
      <w:r w:rsidRPr="00B6238E">
        <w:rPr>
          <w:rFonts w:ascii="Times New Roman" w:hAnsi="Times New Roman" w:cs="Times New Roman"/>
          <w:b/>
          <w:bCs/>
          <w:sz w:val="28"/>
          <w:szCs w:val="28"/>
        </w:rPr>
        <w:t>Valuation Calculation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94"/>
        <w:gridCol w:w="985"/>
      </w:tblGrid>
      <w:tr w:rsidR="00B6238E" w:rsidRPr="00B6238E" w14:paraId="13915DA9" w14:textId="77777777">
        <w:trPr>
          <w:tblHeader/>
          <w:tblCellSpacing w:w="15" w:type="dxa"/>
        </w:trPr>
        <w:tc>
          <w:tcPr>
            <w:tcW w:w="0" w:type="auto"/>
            <w:vAlign w:val="center"/>
            <w:hideMark/>
          </w:tcPr>
          <w:p w14:paraId="133060C2"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Metric</w:t>
            </w:r>
          </w:p>
        </w:tc>
        <w:tc>
          <w:tcPr>
            <w:tcW w:w="0" w:type="auto"/>
            <w:vAlign w:val="center"/>
            <w:hideMark/>
          </w:tcPr>
          <w:p w14:paraId="41FC9FF5"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Value</w:t>
            </w:r>
          </w:p>
        </w:tc>
      </w:tr>
      <w:tr w:rsidR="00B6238E" w:rsidRPr="00B6238E" w14:paraId="2C99A962" w14:textId="77777777">
        <w:trPr>
          <w:tblCellSpacing w:w="15" w:type="dxa"/>
        </w:trPr>
        <w:tc>
          <w:tcPr>
            <w:tcW w:w="0" w:type="auto"/>
            <w:vAlign w:val="center"/>
            <w:hideMark/>
          </w:tcPr>
          <w:p w14:paraId="4AC2E633"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FY2026 Book Value Per Share</w:t>
            </w:r>
          </w:p>
        </w:tc>
        <w:tc>
          <w:tcPr>
            <w:tcW w:w="0" w:type="auto"/>
            <w:vAlign w:val="center"/>
            <w:hideMark/>
          </w:tcPr>
          <w:p w14:paraId="32060925"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₹366</w:t>
            </w:r>
          </w:p>
        </w:tc>
      </w:tr>
      <w:tr w:rsidR="00B6238E" w:rsidRPr="00B6238E" w14:paraId="53FA0C93" w14:textId="77777777">
        <w:trPr>
          <w:tblCellSpacing w:w="15" w:type="dxa"/>
        </w:trPr>
        <w:tc>
          <w:tcPr>
            <w:tcW w:w="0" w:type="auto"/>
            <w:vAlign w:val="center"/>
            <w:hideMark/>
          </w:tcPr>
          <w:p w14:paraId="1E03DF62"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Reference Share Price</w:t>
            </w:r>
          </w:p>
        </w:tc>
        <w:tc>
          <w:tcPr>
            <w:tcW w:w="0" w:type="auto"/>
            <w:vAlign w:val="center"/>
            <w:hideMark/>
          </w:tcPr>
          <w:p w14:paraId="159D70B8"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₹732.90</w:t>
            </w:r>
          </w:p>
        </w:tc>
      </w:tr>
      <w:tr w:rsidR="00B6238E" w:rsidRPr="00B6238E" w14:paraId="739E276C" w14:textId="77777777">
        <w:trPr>
          <w:tblCellSpacing w:w="15" w:type="dxa"/>
        </w:trPr>
        <w:tc>
          <w:tcPr>
            <w:tcW w:w="0" w:type="auto"/>
            <w:vAlign w:val="center"/>
            <w:hideMark/>
          </w:tcPr>
          <w:p w14:paraId="3AC1330D"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Current P/B</w:t>
            </w:r>
          </w:p>
        </w:tc>
        <w:tc>
          <w:tcPr>
            <w:tcW w:w="0" w:type="auto"/>
            <w:vAlign w:val="center"/>
            <w:hideMark/>
          </w:tcPr>
          <w:p w14:paraId="20D056C9"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2.00×</w:t>
            </w:r>
          </w:p>
        </w:tc>
      </w:tr>
      <w:tr w:rsidR="00B6238E" w:rsidRPr="00B6238E" w14:paraId="130BA421" w14:textId="77777777">
        <w:trPr>
          <w:tblCellSpacing w:w="15" w:type="dxa"/>
        </w:trPr>
        <w:tc>
          <w:tcPr>
            <w:tcW w:w="0" w:type="auto"/>
            <w:vAlign w:val="center"/>
            <w:hideMark/>
          </w:tcPr>
          <w:p w14:paraId="155B423D"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Assumed Book Value Growth</w:t>
            </w:r>
          </w:p>
        </w:tc>
        <w:tc>
          <w:tcPr>
            <w:tcW w:w="0" w:type="auto"/>
            <w:vAlign w:val="center"/>
            <w:hideMark/>
          </w:tcPr>
          <w:p w14:paraId="6908D621"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12%</w:t>
            </w:r>
          </w:p>
        </w:tc>
      </w:tr>
      <w:tr w:rsidR="00B6238E" w:rsidRPr="00B6238E" w14:paraId="487283E9" w14:textId="77777777">
        <w:trPr>
          <w:tblCellSpacing w:w="15" w:type="dxa"/>
        </w:trPr>
        <w:tc>
          <w:tcPr>
            <w:tcW w:w="0" w:type="auto"/>
            <w:vAlign w:val="center"/>
            <w:hideMark/>
          </w:tcPr>
          <w:p w14:paraId="40A44E4B"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FY2027E Book Value Per Share</w:t>
            </w:r>
          </w:p>
        </w:tc>
        <w:tc>
          <w:tcPr>
            <w:tcW w:w="0" w:type="auto"/>
            <w:vAlign w:val="center"/>
            <w:hideMark/>
          </w:tcPr>
          <w:p w14:paraId="7A5C77F2"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₹409.92</w:t>
            </w:r>
          </w:p>
        </w:tc>
      </w:tr>
      <w:tr w:rsidR="00B6238E" w:rsidRPr="00B6238E" w14:paraId="22CD9E35" w14:textId="77777777">
        <w:trPr>
          <w:tblCellSpacing w:w="15" w:type="dxa"/>
        </w:trPr>
        <w:tc>
          <w:tcPr>
            <w:tcW w:w="0" w:type="auto"/>
            <w:vAlign w:val="center"/>
            <w:hideMark/>
          </w:tcPr>
          <w:p w14:paraId="6C3B6B5E"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Target P/B</w:t>
            </w:r>
          </w:p>
        </w:tc>
        <w:tc>
          <w:tcPr>
            <w:tcW w:w="0" w:type="auto"/>
            <w:vAlign w:val="center"/>
            <w:hideMark/>
          </w:tcPr>
          <w:p w14:paraId="3E92DA4D"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2.20×</w:t>
            </w:r>
          </w:p>
        </w:tc>
      </w:tr>
      <w:tr w:rsidR="00B6238E" w:rsidRPr="00B6238E" w14:paraId="4D0EBF5F" w14:textId="77777777">
        <w:trPr>
          <w:tblCellSpacing w:w="15" w:type="dxa"/>
        </w:trPr>
        <w:tc>
          <w:tcPr>
            <w:tcW w:w="0" w:type="auto"/>
            <w:vAlign w:val="center"/>
            <w:hideMark/>
          </w:tcPr>
          <w:p w14:paraId="453B0FC0"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Implied FY2027 Price</w:t>
            </w:r>
          </w:p>
        </w:tc>
        <w:tc>
          <w:tcPr>
            <w:tcW w:w="0" w:type="auto"/>
            <w:vAlign w:val="center"/>
            <w:hideMark/>
          </w:tcPr>
          <w:p w14:paraId="05D810F2"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₹901.82</w:t>
            </w:r>
          </w:p>
        </w:tc>
      </w:tr>
      <w:tr w:rsidR="00B6238E" w:rsidRPr="00B6238E" w14:paraId="09C3BADC" w14:textId="77777777">
        <w:trPr>
          <w:tblCellSpacing w:w="15" w:type="dxa"/>
        </w:trPr>
        <w:tc>
          <w:tcPr>
            <w:tcW w:w="0" w:type="auto"/>
            <w:vAlign w:val="center"/>
            <w:hideMark/>
          </w:tcPr>
          <w:p w14:paraId="49D086D6"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Potential Upside</w:t>
            </w:r>
          </w:p>
        </w:tc>
        <w:tc>
          <w:tcPr>
            <w:tcW w:w="0" w:type="auto"/>
            <w:vAlign w:val="center"/>
            <w:hideMark/>
          </w:tcPr>
          <w:p w14:paraId="5FD1AC16" w14:textId="77777777" w:rsidR="00B6238E" w:rsidRPr="00B6238E" w:rsidRDefault="00B6238E" w:rsidP="00114EA6">
            <w:pPr>
              <w:ind w:firstLine="0"/>
              <w:rPr>
                <w:rFonts w:ascii="Times New Roman" w:hAnsi="Times New Roman" w:cs="Times New Roman"/>
                <w:sz w:val="28"/>
                <w:szCs w:val="28"/>
              </w:rPr>
            </w:pPr>
            <w:r w:rsidRPr="00B6238E">
              <w:rPr>
                <w:rFonts w:ascii="Times New Roman" w:hAnsi="Times New Roman" w:cs="Times New Roman"/>
                <w:sz w:val="28"/>
                <w:szCs w:val="28"/>
              </w:rPr>
              <w:t>23.0%</w:t>
            </w:r>
          </w:p>
        </w:tc>
      </w:tr>
    </w:tbl>
    <w:p w14:paraId="1F32A532" w14:textId="77777777" w:rsidR="00B6238E" w:rsidRDefault="00B6238E" w:rsidP="00114EA6">
      <w:pPr>
        <w:ind w:firstLine="0"/>
        <w:rPr>
          <w:rFonts w:ascii="Times New Roman" w:hAnsi="Times New Roman" w:cs="Times New Roman"/>
          <w:b/>
          <w:bCs/>
          <w:sz w:val="28"/>
          <w:szCs w:val="28"/>
        </w:rPr>
      </w:pPr>
    </w:p>
    <w:p w14:paraId="6FFB6066" w14:textId="5FA27CFA" w:rsidR="00B92B74" w:rsidRDefault="00B92B74" w:rsidP="00114EA6">
      <w:pPr>
        <w:ind w:firstLine="0"/>
        <w:rPr>
          <w:rFonts w:ascii="Times New Roman" w:hAnsi="Times New Roman" w:cs="Times New Roman"/>
          <w:b/>
          <w:bCs/>
        </w:rPr>
      </w:pPr>
      <w:r w:rsidRPr="00B92B74">
        <w:rPr>
          <w:rFonts w:ascii="Times New Roman" w:hAnsi="Times New Roman" w:cs="Times New Roman"/>
          <w:b/>
          <w:bCs/>
        </w:rPr>
        <w:t>Why P/B is Used</w:t>
      </w:r>
    </w:p>
    <w:p w14:paraId="4A786866" w14:textId="77777777" w:rsidR="00B92B74" w:rsidRPr="00B92B74" w:rsidRDefault="00B92B74" w:rsidP="00114EA6">
      <w:pPr>
        <w:ind w:firstLine="0"/>
        <w:rPr>
          <w:rFonts w:ascii="Times New Roman" w:hAnsi="Times New Roman" w:cs="Times New Roman"/>
        </w:rPr>
      </w:pPr>
      <w:r w:rsidRPr="00B92B74">
        <w:rPr>
          <w:rFonts w:ascii="Times New Roman" w:hAnsi="Times New Roman" w:cs="Times New Roman"/>
        </w:rPr>
        <w:t>The P/B approach is appropriate for banks because book value and shareholders' equity are closely linked to the capital base required to support lending activities. The multiple also provides a way to compare the market valuation of a bank with the accounting value of its net assets.</w:t>
      </w:r>
    </w:p>
    <w:p w14:paraId="0849F95C" w14:textId="77777777" w:rsidR="00B92B74" w:rsidRDefault="00B92B74" w:rsidP="00114EA6">
      <w:pPr>
        <w:ind w:firstLine="0"/>
        <w:rPr>
          <w:rFonts w:ascii="Times New Roman" w:hAnsi="Times New Roman" w:cs="Times New Roman"/>
        </w:rPr>
      </w:pPr>
      <w:r w:rsidRPr="00B92B74">
        <w:rPr>
          <w:rFonts w:ascii="Times New Roman" w:hAnsi="Times New Roman" w:cs="Times New Roman"/>
        </w:rPr>
        <w:lastRenderedPageBreak/>
        <w:t>However, P/B should not be evaluated independently. A higher P/B multiple can be justified when a bank generates strong and sustainable returns on equity, maintains healthy asset quality and has attractive long-term growth prospects. Therefore, the valuation in this project is considered alongside ROE, NIM, asset quality, capital adequacy and growth.</w:t>
      </w:r>
    </w:p>
    <w:p w14:paraId="3D67194C" w14:textId="77777777" w:rsidR="00B92B74" w:rsidRDefault="00B92B74" w:rsidP="00114EA6">
      <w:pPr>
        <w:ind w:firstLine="0"/>
        <w:rPr>
          <w:rFonts w:ascii="Times New Roman" w:hAnsi="Times New Roman" w:cs="Times New Roman"/>
        </w:rPr>
      </w:pPr>
    </w:p>
    <w:p w14:paraId="0678D66B" w14:textId="42D6644F" w:rsidR="00B92B74" w:rsidRDefault="002D08DD" w:rsidP="00114EA6">
      <w:pPr>
        <w:ind w:firstLine="0"/>
        <w:rPr>
          <w:rFonts w:ascii="Times New Roman" w:hAnsi="Times New Roman" w:cs="Times New Roman"/>
          <w:b/>
          <w:bCs/>
        </w:rPr>
      </w:pPr>
      <w:r w:rsidRPr="002D08DD">
        <w:rPr>
          <w:rFonts w:ascii="Times New Roman" w:hAnsi="Times New Roman" w:cs="Times New Roman"/>
          <w:b/>
          <w:bCs/>
        </w:rPr>
        <w:t>Scenario Valuation</w:t>
      </w:r>
    </w:p>
    <w:p w14:paraId="5E1FB165" w14:textId="77777777" w:rsidR="002D08DD" w:rsidRPr="002D08DD" w:rsidRDefault="002D08DD" w:rsidP="00114EA6">
      <w:pPr>
        <w:ind w:firstLine="0"/>
        <w:rPr>
          <w:rFonts w:ascii="Times New Roman" w:hAnsi="Times New Roman" w:cs="Times New Roman"/>
        </w:rPr>
      </w:pPr>
      <w:r w:rsidRPr="002D08DD">
        <w:rPr>
          <w:rFonts w:ascii="Times New Roman" w:hAnsi="Times New Roman" w:cs="Times New Roman"/>
        </w:rPr>
        <w:t>Because valuation depends heavily on assumptions, three scenarios were developed to evaluate a range of possible outcomes.</w:t>
      </w:r>
    </w:p>
    <w:p w14:paraId="00E54916" w14:textId="77777777" w:rsidR="002D08DD" w:rsidRPr="002D08DD" w:rsidRDefault="002D08DD" w:rsidP="00114EA6">
      <w:pPr>
        <w:ind w:firstLine="0"/>
        <w:rPr>
          <w:rFonts w:ascii="Times New Roman" w:hAnsi="Times New Roman" w:cs="Times New Roman"/>
        </w:rPr>
      </w:pPr>
      <w:r w:rsidRPr="002D08DD">
        <w:rPr>
          <w:rFonts w:ascii="Times New Roman" w:hAnsi="Times New Roman" w:cs="Times New Roman"/>
        </w:rPr>
        <w:t>Bear Case: Assumes 8% book-value growth and a 1.80× target P/B multiple, resulting in an implied value of approximately ₹711.50, representing approximately 2.9% downside from the reference price.</w:t>
      </w:r>
    </w:p>
    <w:p w14:paraId="773178DA" w14:textId="77777777" w:rsidR="002D08DD" w:rsidRPr="002D08DD" w:rsidRDefault="002D08DD" w:rsidP="00114EA6">
      <w:pPr>
        <w:ind w:firstLine="0"/>
        <w:rPr>
          <w:rFonts w:ascii="Times New Roman" w:hAnsi="Times New Roman" w:cs="Times New Roman"/>
        </w:rPr>
      </w:pPr>
      <w:r w:rsidRPr="002D08DD">
        <w:rPr>
          <w:rFonts w:ascii="Times New Roman" w:hAnsi="Times New Roman" w:cs="Times New Roman"/>
        </w:rPr>
        <w:t>Base Case: Assumes 12% book-value growth and a 2.20× target P/B multiple, resulting in an implied value of approximately ₹901.82, representing approximately 23.0% upside.</w:t>
      </w:r>
    </w:p>
    <w:p w14:paraId="3FF63550" w14:textId="77777777" w:rsidR="002D08DD" w:rsidRDefault="002D08DD" w:rsidP="00114EA6">
      <w:pPr>
        <w:ind w:firstLine="0"/>
        <w:rPr>
          <w:rFonts w:ascii="Times New Roman" w:hAnsi="Times New Roman" w:cs="Times New Roman"/>
        </w:rPr>
      </w:pPr>
      <w:r w:rsidRPr="002D08DD">
        <w:rPr>
          <w:rFonts w:ascii="Times New Roman" w:hAnsi="Times New Roman" w:cs="Times New Roman"/>
        </w:rPr>
        <w:t>Bull Case: Assumes 15% book-value growth and a 2.50× target P/B multiple, resulting in an implied value of approximately ₹1,052.25, representing approximately 43.6% upside.</w:t>
      </w:r>
    </w:p>
    <w:p w14:paraId="56743394" w14:textId="77777777" w:rsidR="006143E7" w:rsidRDefault="006143E7" w:rsidP="00114EA6">
      <w:pPr>
        <w:ind w:firstLine="0"/>
        <w:rPr>
          <w:rFonts w:ascii="Times New Roman" w:hAnsi="Times New Roman" w:cs="Times New Roman"/>
        </w:rPr>
      </w:pPr>
    </w:p>
    <w:p w14:paraId="40EFAE92" w14:textId="3866AFD4" w:rsidR="002D08DD" w:rsidRDefault="006143E7" w:rsidP="00114EA6">
      <w:pPr>
        <w:ind w:firstLine="0"/>
        <w:rPr>
          <w:rFonts w:ascii="Times New Roman" w:hAnsi="Times New Roman" w:cs="Times New Roman"/>
          <w:b/>
          <w:bCs/>
        </w:rPr>
      </w:pPr>
      <w:r w:rsidRPr="006143E7">
        <w:rPr>
          <w:rFonts w:ascii="Times New Roman" w:hAnsi="Times New Roman" w:cs="Times New Roman"/>
          <w:b/>
          <w:bCs/>
        </w:rPr>
        <w:t>Valuation Interpretation</w:t>
      </w:r>
    </w:p>
    <w:p w14:paraId="59606233" w14:textId="77777777" w:rsidR="006143E7" w:rsidRPr="006143E7" w:rsidRDefault="006143E7" w:rsidP="00114EA6">
      <w:pPr>
        <w:ind w:firstLine="0"/>
        <w:rPr>
          <w:rFonts w:ascii="Times New Roman" w:hAnsi="Times New Roman" w:cs="Times New Roman"/>
        </w:rPr>
      </w:pPr>
      <w:r w:rsidRPr="006143E7">
        <w:rPr>
          <w:rFonts w:ascii="Times New Roman" w:hAnsi="Times New Roman" w:cs="Times New Roman"/>
        </w:rPr>
        <w:t>The scenario analysis demonstrates that HDFC Bank's potential return is sensitive to both book-value growth and the valuation multiple assigned by the market. The base case provides a constructive risk-reward profile, while the bear case illustrates the downside that could occur if growth slows and the market applies a lower P/B multiple.</w:t>
      </w:r>
    </w:p>
    <w:p w14:paraId="61A41FC9" w14:textId="77777777" w:rsidR="006143E7" w:rsidRPr="006143E7" w:rsidRDefault="006143E7" w:rsidP="00114EA6">
      <w:pPr>
        <w:ind w:firstLine="0"/>
        <w:rPr>
          <w:rFonts w:ascii="Times New Roman" w:hAnsi="Times New Roman" w:cs="Times New Roman"/>
        </w:rPr>
      </w:pPr>
      <w:r w:rsidRPr="006143E7">
        <w:rPr>
          <w:rFonts w:ascii="Times New Roman" w:hAnsi="Times New Roman" w:cs="Times New Roman"/>
        </w:rPr>
        <w:t>The bull case demonstrates the potential upside if the bank delivers stronger book-value growth and maintains a premium valuation multiple. This range-based approach provides a more realistic assessment of investment outcomes than relying on a single target price.</w:t>
      </w:r>
    </w:p>
    <w:p w14:paraId="6196E44E" w14:textId="77777777" w:rsidR="006143E7" w:rsidRDefault="006143E7" w:rsidP="00114EA6">
      <w:pPr>
        <w:ind w:firstLine="0"/>
        <w:rPr>
          <w:rFonts w:ascii="Times New Roman" w:hAnsi="Times New Roman" w:cs="Times New Roman"/>
          <w:b/>
          <w:bCs/>
        </w:rPr>
      </w:pPr>
    </w:p>
    <w:p w14:paraId="48138F58" w14:textId="47809212" w:rsidR="006143E7" w:rsidRDefault="00E603B2" w:rsidP="00114EA6">
      <w:pPr>
        <w:ind w:firstLine="0"/>
        <w:rPr>
          <w:rFonts w:ascii="Times New Roman" w:hAnsi="Times New Roman" w:cs="Times New Roman"/>
          <w:b/>
          <w:bCs/>
          <w:sz w:val="28"/>
          <w:szCs w:val="28"/>
        </w:rPr>
      </w:pPr>
      <w:r w:rsidRPr="00E603B2">
        <w:rPr>
          <w:rFonts w:ascii="Times New Roman" w:hAnsi="Times New Roman" w:cs="Times New Roman"/>
          <w:b/>
          <w:bCs/>
          <w:sz w:val="28"/>
          <w:szCs w:val="28"/>
        </w:rPr>
        <w:t>INVESTMENT THESIS, CATALYSTS &amp; RISKS</w:t>
      </w:r>
    </w:p>
    <w:p w14:paraId="466F9076" w14:textId="63F8665B" w:rsidR="00E603B2" w:rsidRDefault="00EC28CD" w:rsidP="00114EA6">
      <w:pPr>
        <w:ind w:firstLine="0"/>
        <w:rPr>
          <w:rFonts w:ascii="Times New Roman" w:hAnsi="Times New Roman" w:cs="Times New Roman"/>
          <w:b/>
          <w:bCs/>
        </w:rPr>
      </w:pPr>
      <w:r w:rsidRPr="00EC28CD">
        <w:rPr>
          <w:rFonts w:ascii="Times New Roman" w:hAnsi="Times New Roman" w:cs="Times New Roman"/>
          <w:b/>
          <w:bCs/>
        </w:rPr>
        <w:t>Investment Thesis</w:t>
      </w:r>
    </w:p>
    <w:p w14:paraId="11CCF2F1" w14:textId="77777777" w:rsidR="00EC28CD" w:rsidRPr="00EC28CD" w:rsidRDefault="00EC28CD" w:rsidP="00114EA6">
      <w:pPr>
        <w:ind w:firstLine="0"/>
        <w:rPr>
          <w:rFonts w:ascii="Times New Roman" w:hAnsi="Times New Roman" w:cs="Times New Roman"/>
        </w:rPr>
      </w:pPr>
      <w:r w:rsidRPr="00EC28CD">
        <w:rPr>
          <w:rFonts w:ascii="Times New Roman" w:hAnsi="Times New Roman" w:cs="Times New Roman"/>
        </w:rPr>
        <w:t>Based on the historical analysis, peer comparison, forward projections and P/B valuation framework, the overall investment view is constructive. HDFC Bank combines a large deposit franchise, strong capitalization, significant balance-sheet scale and a relatively resilient asset-quality profile.</w:t>
      </w:r>
    </w:p>
    <w:p w14:paraId="7E90C43D" w14:textId="77777777" w:rsidR="00EC28CD" w:rsidRPr="00EC28CD" w:rsidRDefault="00EC28CD" w:rsidP="00114EA6">
      <w:pPr>
        <w:ind w:firstLine="0"/>
        <w:rPr>
          <w:rFonts w:ascii="Times New Roman" w:hAnsi="Times New Roman" w:cs="Times New Roman"/>
        </w:rPr>
      </w:pPr>
      <w:r w:rsidRPr="00EC28CD">
        <w:rPr>
          <w:rFonts w:ascii="Times New Roman" w:hAnsi="Times New Roman" w:cs="Times New Roman"/>
        </w:rPr>
        <w:t>The base-case valuation indicates an implied FY2027 share price of approximately ₹901.82, compared with the reference price of ₹732.90, resulting in approximately 23% potential upside.</w:t>
      </w:r>
    </w:p>
    <w:p w14:paraId="12C55D50" w14:textId="77777777" w:rsidR="00EC28CD" w:rsidRDefault="00EC28CD" w:rsidP="00114EA6">
      <w:pPr>
        <w:ind w:firstLine="0"/>
        <w:rPr>
          <w:rFonts w:ascii="Times New Roman" w:hAnsi="Times New Roman" w:cs="Times New Roman"/>
        </w:rPr>
      </w:pPr>
      <w:r w:rsidRPr="00EC28CD">
        <w:rPr>
          <w:rFonts w:ascii="Times New Roman" w:hAnsi="Times New Roman" w:cs="Times New Roman"/>
        </w:rPr>
        <w:lastRenderedPageBreak/>
        <w:t>However, the investment thesis is dependent on the bank maintaining healthy loan and deposit growth, stable margins, controlled credit costs and strong returns on equity. The valuation is also sensitive to the P/B multiple assigned by the market.</w:t>
      </w:r>
    </w:p>
    <w:p w14:paraId="7BE1D29F" w14:textId="77777777" w:rsidR="00746A81" w:rsidRDefault="00746A81" w:rsidP="00114EA6">
      <w:pPr>
        <w:ind w:firstLine="0"/>
        <w:rPr>
          <w:rFonts w:ascii="Times New Roman" w:hAnsi="Times New Roman" w:cs="Times New Roman"/>
          <w:b/>
          <w:bCs/>
        </w:rPr>
      </w:pPr>
    </w:p>
    <w:p w14:paraId="3C527E01" w14:textId="32D6F781" w:rsidR="00EC28CD" w:rsidRDefault="00746A81" w:rsidP="00114EA6">
      <w:pPr>
        <w:ind w:firstLine="0"/>
        <w:rPr>
          <w:rFonts w:ascii="Times New Roman" w:hAnsi="Times New Roman" w:cs="Times New Roman"/>
          <w:b/>
          <w:bCs/>
        </w:rPr>
      </w:pPr>
      <w:r w:rsidRPr="00746A81">
        <w:rPr>
          <w:rFonts w:ascii="Times New Roman" w:hAnsi="Times New Roman" w:cs="Times New Roman"/>
          <w:b/>
          <w:bCs/>
        </w:rPr>
        <w:t>Key Investment Strengths</w:t>
      </w:r>
    </w:p>
    <w:p w14:paraId="36F532DA" w14:textId="77777777" w:rsidR="00746A81" w:rsidRPr="00746A81" w:rsidRDefault="00746A81" w:rsidP="00114EA6">
      <w:pPr>
        <w:pStyle w:val="ListParagraph"/>
        <w:numPr>
          <w:ilvl w:val="0"/>
          <w:numId w:val="2"/>
        </w:numPr>
        <w:rPr>
          <w:rFonts w:ascii="Times New Roman" w:hAnsi="Times New Roman" w:cs="Times New Roman"/>
        </w:rPr>
      </w:pPr>
      <w:r w:rsidRPr="00746A81">
        <w:rPr>
          <w:rFonts w:ascii="Times New Roman" w:hAnsi="Times New Roman" w:cs="Times New Roman"/>
        </w:rPr>
        <w:t xml:space="preserve">Strong Capital Position: The </w:t>
      </w:r>
      <w:proofErr w:type="spellStart"/>
      <w:r w:rsidRPr="00746A81">
        <w:rPr>
          <w:rFonts w:ascii="Times New Roman" w:hAnsi="Times New Roman" w:cs="Times New Roman"/>
        </w:rPr>
        <w:t>modeled</w:t>
      </w:r>
      <w:proofErr w:type="spellEnd"/>
      <w:r w:rsidRPr="00746A81">
        <w:rPr>
          <w:rFonts w:ascii="Times New Roman" w:hAnsi="Times New Roman" w:cs="Times New Roman"/>
        </w:rPr>
        <w:t xml:space="preserve"> FY2026 CRAR of approximately 19.2% provides a substantial capital buffer.</w:t>
      </w:r>
    </w:p>
    <w:p w14:paraId="77ACB7F3" w14:textId="77777777" w:rsidR="00746A81" w:rsidRPr="00746A81" w:rsidRDefault="00746A81" w:rsidP="00114EA6">
      <w:pPr>
        <w:pStyle w:val="ListParagraph"/>
        <w:numPr>
          <w:ilvl w:val="0"/>
          <w:numId w:val="2"/>
        </w:numPr>
        <w:rPr>
          <w:rFonts w:ascii="Times New Roman" w:hAnsi="Times New Roman" w:cs="Times New Roman"/>
        </w:rPr>
      </w:pPr>
      <w:r w:rsidRPr="00746A81">
        <w:rPr>
          <w:rFonts w:ascii="Times New Roman" w:hAnsi="Times New Roman" w:cs="Times New Roman"/>
        </w:rPr>
        <w:t>Large Deposit Franchise: Strong deposit growth provides funding capacity for continued lending expansion.</w:t>
      </w:r>
    </w:p>
    <w:p w14:paraId="3819CE8D" w14:textId="77777777" w:rsidR="00746A81" w:rsidRPr="00746A81" w:rsidRDefault="00746A81" w:rsidP="00114EA6">
      <w:pPr>
        <w:pStyle w:val="ListParagraph"/>
        <w:numPr>
          <w:ilvl w:val="0"/>
          <w:numId w:val="2"/>
        </w:numPr>
        <w:rPr>
          <w:rFonts w:ascii="Times New Roman" w:hAnsi="Times New Roman" w:cs="Times New Roman"/>
        </w:rPr>
      </w:pPr>
      <w:r w:rsidRPr="00746A81">
        <w:rPr>
          <w:rFonts w:ascii="Times New Roman" w:hAnsi="Times New Roman" w:cs="Times New Roman"/>
        </w:rPr>
        <w:t>Scale: HDFC Bank's large balance sheet and customer franchise provide significant operating and competitive advantages.</w:t>
      </w:r>
    </w:p>
    <w:p w14:paraId="5115D901" w14:textId="77777777" w:rsidR="00746A81" w:rsidRPr="00746A81" w:rsidRDefault="00746A81" w:rsidP="00114EA6">
      <w:pPr>
        <w:pStyle w:val="ListParagraph"/>
        <w:numPr>
          <w:ilvl w:val="0"/>
          <w:numId w:val="2"/>
        </w:numPr>
        <w:rPr>
          <w:rFonts w:ascii="Times New Roman" w:hAnsi="Times New Roman" w:cs="Times New Roman"/>
        </w:rPr>
      </w:pPr>
      <w:r w:rsidRPr="00746A81">
        <w:rPr>
          <w:rFonts w:ascii="Times New Roman" w:hAnsi="Times New Roman" w:cs="Times New Roman"/>
        </w:rPr>
        <w:t xml:space="preserve">Asset Quality: The </w:t>
      </w:r>
      <w:proofErr w:type="spellStart"/>
      <w:r w:rsidRPr="00746A81">
        <w:rPr>
          <w:rFonts w:ascii="Times New Roman" w:hAnsi="Times New Roman" w:cs="Times New Roman"/>
        </w:rPr>
        <w:t>modeled</w:t>
      </w:r>
      <w:proofErr w:type="spellEnd"/>
      <w:r w:rsidRPr="00746A81">
        <w:rPr>
          <w:rFonts w:ascii="Times New Roman" w:hAnsi="Times New Roman" w:cs="Times New Roman"/>
        </w:rPr>
        <w:t xml:space="preserve"> GNPA of approximately 1.25% indicates a relatively controlled level of stressed assets.</w:t>
      </w:r>
    </w:p>
    <w:p w14:paraId="4E32D6C6" w14:textId="77777777" w:rsidR="00746A81" w:rsidRDefault="00746A81" w:rsidP="00114EA6">
      <w:pPr>
        <w:pStyle w:val="ListParagraph"/>
        <w:numPr>
          <w:ilvl w:val="0"/>
          <w:numId w:val="2"/>
        </w:numPr>
        <w:rPr>
          <w:rFonts w:ascii="Times New Roman" w:hAnsi="Times New Roman" w:cs="Times New Roman"/>
        </w:rPr>
      </w:pPr>
      <w:r w:rsidRPr="00746A81">
        <w:rPr>
          <w:rFonts w:ascii="Times New Roman" w:hAnsi="Times New Roman" w:cs="Times New Roman"/>
        </w:rPr>
        <w:t>Profitability: ROA and ROE remain strong in the model, supporting the case for sustainable shareholder returns.</w:t>
      </w:r>
    </w:p>
    <w:p w14:paraId="5A5EC680" w14:textId="77777777" w:rsidR="00746A81" w:rsidRDefault="00746A81" w:rsidP="00114EA6">
      <w:pPr>
        <w:ind w:firstLine="0"/>
        <w:rPr>
          <w:rFonts w:ascii="Times New Roman" w:hAnsi="Times New Roman" w:cs="Times New Roman"/>
        </w:rPr>
      </w:pPr>
    </w:p>
    <w:p w14:paraId="5A5C4789" w14:textId="389A0312" w:rsidR="00746A81" w:rsidRDefault="00744BAA" w:rsidP="00114EA6">
      <w:pPr>
        <w:ind w:firstLine="0"/>
        <w:rPr>
          <w:rFonts w:ascii="Times New Roman" w:hAnsi="Times New Roman" w:cs="Times New Roman"/>
          <w:b/>
          <w:bCs/>
        </w:rPr>
      </w:pPr>
      <w:r w:rsidRPr="00744BAA">
        <w:rPr>
          <w:rFonts w:ascii="Times New Roman" w:hAnsi="Times New Roman" w:cs="Times New Roman"/>
          <w:b/>
          <w:bCs/>
        </w:rPr>
        <w:t>Growth Catalysts</w:t>
      </w:r>
    </w:p>
    <w:p w14:paraId="5D4326FF" w14:textId="77777777" w:rsidR="00744BAA" w:rsidRPr="00744BAA" w:rsidRDefault="00744BAA" w:rsidP="00114EA6">
      <w:pPr>
        <w:ind w:firstLine="0"/>
        <w:rPr>
          <w:rFonts w:ascii="Times New Roman" w:hAnsi="Times New Roman" w:cs="Times New Roman"/>
        </w:rPr>
      </w:pPr>
      <w:r w:rsidRPr="00744BAA">
        <w:rPr>
          <w:rFonts w:ascii="Times New Roman" w:hAnsi="Times New Roman" w:cs="Times New Roman"/>
        </w:rPr>
        <w:t>The major potential catalysts for the investment thesis include:</w:t>
      </w:r>
    </w:p>
    <w:p w14:paraId="743BE5BE" w14:textId="77777777" w:rsidR="00744BAA" w:rsidRPr="00744BAA" w:rsidRDefault="00744BAA" w:rsidP="00114EA6">
      <w:pPr>
        <w:numPr>
          <w:ilvl w:val="0"/>
          <w:numId w:val="3"/>
        </w:numPr>
        <w:rPr>
          <w:rFonts w:ascii="Times New Roman" w:hAnsi="Times New Roman" w:cs="Times New Roman"/>
        </w:rPr>
      </w:pPr>
      <w:r w:rsidRPr="00744BAA">
        <w:rPr>
          <w:rFonts w:ascii="Times New Roman" w:hAnsi="Times New Roman" w:cs="Times New Roman"/>
        </w:rPr>
        <w:t xml:space="preserve">Sustained loan growth supported by credit demand. </w:t>
      </w:r>
    </w:p>
    <w:p w14:paraId="38E99373" w14:textId="77777777" w:rsidR="00744BAA" w:rsidRPr="00744BAA" w:rsidRDefault="00744BAA" w:rsidP="00114EA6">
      <w:pPr>
        <w:numPr>
          <w:ilvl w:val="0"/>
          <w:numId w:val="3"/>
        </w:numPr>
        <w:rPr>
          <w:rFonts w:ascii="Times New Roman" w:hAnsi="Times New Roman" w:cs="Times New Roman"/>
        </w:rPr>
      </w:pPr>
      <w:r w:rsidRPr="00744BAA">
        <w:rPr>
          <w:rFonts w:ascii="Times New Roman" w:hAnsi="Times New Roman" w:cs="Times New Roman"/>
        </w:rPr>
        <w:t xml:space="preserve">Continued expansion of the deposit franchise. </w:t>
      </w:r>
    </w:p>
    <w:p w14:paraId="73CA6C21" w14:textId="77777777" w:rsidR="00744BAA" w:rsidRPr="00744BAA" w:rsidRDefault="00744BAA" w:rsidP="00114EA6">
      <w:pPr>
        <w:numPr>
          <w:ilvl w:val="0"/>
          <w:numId w:val="3"/>
        </w:numPr>
        <w:rPr>
          <w:rFonts w:ascii="Times New Roman" w:hAnsi="Times New Roman" w:cs="Times New Roman"/>
        </w:rPr>
      </w:pPr>
      <w:r w:rsidRPr="00744BAA">
        <w:rPr>
          <w:rFonts w:ascii="Times New Roman" w:hAnsi="Times New Roman" w:cs="Times New Roman"/>
        </w:rPr>
        <w:t xml:space="preserve">Stabilization or improvement in NIM. </w:t>
      </w:r>
    </w:p>
    <w:p w14:paraId="37A32786" w14:textId="77777777" w:rsidR="00744BAA" w:rsidRPr="00744BAA" w:rsidRDefault="00744BAA" w:rsidP="00114EA6">
      <w:pPr>
        <w:numPr>
          <w:ilvl w:val="0"/>
          <w:numId w:val="3"/>
        </w:numPr>
        <w:rPr>
          <w:rFonts w:ascii="Times New Roman" w:hAnsi="Times New Roman" w:cs="Times New Roman"/>
        </w:rPr>
      </w:pPr>
      <w:r w:rsidRPr="00744BAA">
        <w:rPr>
          <w:rFonts w:ascii="Times New Roman" w:hAnsi="Times New Roman" w:cs="Times New Roman"/>
        </w:rPr>
        <w:t xml:space="preserve">Lower credit costs and continued asset-quality improvement. </w:t>
      </w:r>
    </w:p>
    <w:p w14:paraId="09300B23" w14:textId="77777777" w:rsidR="00744BAA" w:rsidRPr="00744BAA" w:rsidRDefault="00744BAA" w:rsidP="00114EA6">
      <w:pPr>
        <w:numPr>
          <w:ilvl w:val="0"/>
          <w:numId w:val="3"/>
        </w:numPr>
        <w:rPr>
          <w:rFonts w:ascii="Times New Roman" w:hAnsi="Times New Roman" w:cs="Times New Roman"/>
        </w:rPr>
      </w:pPr>
      <w:r w:rsidRPr="00744BAA">
        <w:rPr>
          <w:rFonts w:ascii="Times New Roman" w:hAnsi="Times New Roman" w:cs="Times New Roman"/>
        </w:rPr>
        <w:t xml:space="preserve">Stronger-than-expected earnings and book-value growth. </w:t>
      </w:r>
    </w:p>
    <w:p w14:paraId="1327EDD2" w14:textId="77777777" w:rsidR="00744BAA" w:rsidRDefault="00744BAA" w:rsidP="00114EA6">
      <w:pPr>
        <w:numPr>
          <w:ilvl w:val="0"/>
          <w:numId w:val="3"/>
        </w:numPr>
        <w:rPr>
          <w:rFonts w:ascii="Times New Roman" w:hAnsi="Times New Roman" w:cs="Times New Roman"/>
        </w:rPr>
      </w:pPr>
      <w:r w:rsidRPr="00744BAA">
        <w:rPr>
          <w:rFonts w:ascii="Times New Roman" w:hAnsi="Times New Roman" w:cs="Times New Roman"/>
        </w:rPr>
        <w:t xml:space="preserve">A potential re-rating of the bank's P/B multiple if profitability and growth expectations improve. </w:t>
      </w:r>
    </w:p>
    <w:p w14:paraId="1C72F11D" w14:textId="77777777" w:rsidR="00744BAA" w:rsidRPr="00AE4C66" w:rsidRDefault="00744BAA" w:rsidP="00114EA6">
      <w:pPr>
        <w:ind w:firstLine="0"/>
        <w:rPr>
          <w:rFonts w:ascii="Times New Roman" w:hAnsi="Times New Roman" w:cs="Times New Roman"/>
          <w:b/>
          <w:bCs/>
        </w:rPr>
      </w:pPr>
    </w:p>
    <w:p w14:paraId="7D4EEA6D" w14:textId="4ED8CD58" w:rsidR="00744BAA" w:rsidRDefault="00AE4C66" w:rsidP="00114EA6">
      <w:pPr>
        <w:ind w:firstLine="0"/>
        <w:rPr>
          <w:rFonts w:ascii="Times New Roman" w:hAnsi="Times New Roman" w:cs="Times New Roman"/>
          <w:b/>
          <w:bCs/>
        </w:rPr>
      </w:pPr>
      <w:r w:rsidRPr="00AE4C66">
        <w:rPr>
          <w:rFonts w:ascii="Times New Roman" w:hAnsi="Times New Roman" w:cs="Times New Roman"/>
          <w:b/>
          <w:bCs/>
        </w:rPr>
        <w:t>Key Risks</w:t>
      </w:r>
    </w:p>
    <w:p w14:paraId="511E9FB3" w14:textId="77777777" w:rsidR="00AE4C66" w:rsidRPr="00AE4C66" w:rsidRDefault="00AE4C66" w:rsidP="00114EA6">
      <w:pPr>
        <w:pStyle w:val="ListParagraph"/>
        <w:numPr>
          <w:ilvl w:val="0"/>
          <w:numId w:val="4"/>
        </w:numPr>
        <w:rPr>
          <w:rFonts w:ascii="Times New Roman" w:hAnsi="Times New Roman" w:cs="Times New Roman"/>
        </w:rPr>
      </w:pPr>
      <w:r w:rsidRPr="00AE4C66">
        <w:rPr>
          <w:rFonts w:ascii="Times New Roman" w:hAnsi="Times New Roman" w:cs="Times New Roman"/>
          <w:b/>
          <w:bCs/>
        </w:rPr>
        <w:t>Margin Compression:</w:t>
      </w:r>
      <w:r w:rsidRPr="00AE4C66">
        <w:rPr>
          <w:rFonts w:ascii="Times New Roman" w:hAnsi="Times New Roman" w:cs="Times New Roman"/>
        </w:rPr>
        <w:t xml:space="preserve"> Increased funding costs or competitive lending rates could pressure NIM.</w:t>
      </w:r>
    </w:p>
    <w:p w14:paraId="1EE16574" w14:textId="77777777" w:rsidR="00AE4C66" w:rsidRPr="00AE4C66" w:rsidRDefault="00AE4C66" w:rsidP="00114EA6">
      <w:pPr>
        <w:pStyle w:val="ListParagraph"/>
        <w:numPr>
          <w:ilvl w:val="0"/>
          <w:numId w:val="4"/>
        </w:numPr>
        <w:rPr>
          <w:rFonts w:ascii="Times New Roman" w:hAnsi="Times New Roman" w:cs="Times New Roman"/>
        </w:rPr>
      </w:pPr>
      <w:r w:rsidRPr="00AE4C66">
        <w:rPr>
          <w:rFonts w:ascii="Times New Roman" w:hAnsi="Times New Roman" w:cs="Times New Roman"/>
          <w:b/>
          <w:bCs/>
        </w:rPr>
        <w:t>Credit Deterioration:</w:t>
      </w:r>
      <w:r w:rsidRPr="00AE4C66">
        <w:rPr>
          <w:rFonts w:ascii="Times New Roman" w:hAnsi="Times New Roman" w:cs="Times New Roman"/>
        </w:rPr>
        <w:t xml:space="preserve"> A deterioration in borrower quality could increase GNPA, credit costs and provisions.</w:t>
      </w:r>
    </w:p>
    <w:p w14:paraId="47FDDB4C" w14:textId="77777777" w:rsidR="00AE4C66" w:rsidRPr="00AE4C66" w:rsidRDefault="00AE4C66" w:rsidP="00114EA6">
      <w:pPr>
        <w:pStyle w:val="ListParagraph"/>
        <w:numPr>
          <w:ilvl w:val="0"/>
          <w:numId w:val="4"/>
        </w:numPr>
        <w:rPr>
          <w:rFonts w:ascii="Times New Roman" w:hAnsi="Times New Roman" w:cs="Times New Roman"/>
        </w:rPr>
      </w:pPr>
      <w:r w:rsidRPr="00AE4C66">
        <w:rPr>
          <w:rFonts w:ascii="Times New Roman" w:hAnsi="Times New Roman" w:cs="Times New Roman"/>
          <w:b/>
          <w:bCs/>
        </w:rPr>
        <w:t>Slower Growth:</w:t>
      </w:r>
      <w:r w:rsidRPr="00AE4C66">
        <w:rPr>
          <w:rFonts w:ascii="Times New Roman" w:hAnsi="Times New Roman" w:cs="Times New Roman"/>
        </w:rPr>
        <w:t xml:space="preserve"> Weak credit demand could reduce loan growth and limit NII expansion.</w:t>
      </w:r>
    </w:p>
    <w:p w14:paraId="70D2C960" w14:textId="77777777" w:rsidR="00AE4C66" w:rsidRPr="00AE4C66" w:rsidRDefault="00AE4C66" w:rsidP="00114EA6">
      <w:pPr>
        <w:pStyle w:val="ListParagraph"/>
        <w:numPr>
          <w:ilvl w:val="0"/>
          <w:numId w:val="4"/>
        </w:numPr>
        <w:rPr>
          <w:rFonts w:ascii="Times New Roman" w:hAnsi="Times New Roman" w:cs="Times New Roman"/>
        </w:rPr>
      </w:pPr>
      <w:r w:rsidRPr="00AE4C66">
        <w:rPr>
          <w:rFonts w:ascii="Times New Roman" w:hAnsi="Times New Roman" w:cs="Times New Roman"/>
          <w:b/>
          <w:bCs/>
        </w:rPr>
        <w:t>Deposit Competition:</w:t>
      </w:r>
      <w:r w:rsidRPr="00AE4C66">
        <w:rPr>
          <w:rFonts w:ascii="Times New Roman" w:hAnsi="Times New Roman" w:cs="Times New Roman"/>
        </w:rPr>
        <w:t xml:space="preserve"> Intense competition for deposits could increase funding costs.</w:t>
      </w:r>
    </w:p>
    <w:p w14:paraId="61844EC0" w14:textId="77777777" w:rsidR="00AE4C66" w:rsidRPr="00AE4C66" w:rsidRDefault="00AE4C66" w:rsidP="00114EA6">
      <w:pPr>
        <w:pStyle w:val="ListParagraph"/>
        <w:numPr>
          <w:ilvl w:val="0"/>
          <w:numId w:val="4"/>
        </w:numPr>
        <w:rPr>
          <w:rFonts w:ascii="Times New Roman" w:hAnsi="Times New Roman" w:cs="Times New Roman"/>
        </w:rPr>
      </w:pPr>
      <w:r w:rsidRPr="00AE4C66">
        <w:rPr>
          <w:rFonts w:ascii="Times New Roman" w:hAnsi="Times New Roman" w:cs="Times New Roman"/>
          <w:b/>
          <w:bCs/>
        </w:rPr>
        <w:lastRenderedPageBreak/>
        <w:t>Valuation Compression:</w:t>
      </w:r>
      <w:r w:rsidRPr="00AE4C66">
        <w:rPr>
          <w:rFonts w:ascii="Times New Roman" w:hAnsi="Times New Roman" w:cs="Times New Roman"/>
        </w:rPr>
        <w:t xml:space="preserve"> Even if the bank's fundamentals remain strong, a lower market P/B multiple could reduce the share-price return.</w:t>
      </w:r>
    </w:p>
    <w:p w14:paraId="2BCE04BA" w14:textId="77777777" w:rsidR="00AE4C66" w:rsidRDefault="00AE4C66" w:rsidP="00114EA6">
      <w:pPr>
        <w:pStyle w:val="ListParagraph"/>
        <w:numPr>
          <w:ilvl w:val="0"/>
          <w:numId w:val="4"/>
        </w:numPr>
        <w:rPr>
          <w:rFonts w:ascii="Times New Roman" w:hAnsi="Times New Roman" w:cs="Times New Roman"/>
        </w:rPr>
      </w:pPr>
      <w:r w:rsidRPr="00AE4C66">
        <w:rPr>
          <w:rFonts w:ascii="Times New Roman" w:hAnsi="Times New Roman" w:cs="Times New Roman"/>
          <w:b/>
          <w:bCs/>
        </w:rPr>
        <w:t>Macroeconomic Risk:</w:t>
      </w:r>
      <w:r w:rsidRPr="00AE4C66">
        <w:rPr>
          <w:rFonts w:ascii="Times New Roman" w:hAnsi="Times New Roman" w:cs="Times New Roman"/>
        </w:rPr>
        <w:t xml:space="preserve"> Changes in interest rates, inflation, economic growth, regulation and broader financial-market conditions can affect banking-sector performance.</w:t>
      </w:r>
    </w:p>
    <w:p w14:paraId="56AB6733" w14:textId="77777777" w:rsidR="00AE4C66" w:rsidRDefault="00AE4C66" w:rsidP="00114EA6">
      <w:pPr>
        <w:ind w:firstLine="0"/>
        <w:rPr>
          <w:rFonts w:ascii="Times New Roman" w:hAnsi="Times New Roman" w:cs="Times New Roman"/>
        </w:rPr>
      </w:pPr>
    </w:p>
    <w:p w14:paraId="306BD40D" w14:textId="625BD7E2" w:rsidR="00AE4C66" w:rsidRDefault="002E6579" w:rsidP="00114EA6">
      <w:pPr>
        <w:ind w:firstLine="0"/>
        <w:rPr>
          <w:rFonts w:ascii="Times New Roman" w:hAnsi="Times New Roman" w:cs="Times New Roman"/>
          <w:b/>
          <w:bCs/>
        </w:rPr>
      </w:pPr>
      <w:r w:rsidRPr="002E6579">
        <w:rPr>
          <w:rFonts w:ascii="Times New Roman" w:hAnsi="Times New Roman" w:cs="Times New Roman"/>
          <w:b/>
          <w:bCs/>
        </w:rPr>
        <w:t>Final Recommendation</w:t>
      </w:r>
    </w:p>
    <w:p w14:paraId="775A2637" w14:textId="2B1050DF" w:rsidR="002E6579" w:rsidRDefault="002E6579" w:rsidP="00114EA6">
      <w:pPr>
        <w:ind w:firstLine="0"/>
        <w:rPr>
          <w:rFonts w:ascii="Times New Roman" w:hAnsi="Times New Roman" w:cs="Times New Roman"/>
        </w:rPr>
      </w:pPr>
      <w:r w:rsidRPr="002E6579">
        <w:rPr>
          <w:rFonts w:ascii="Times New Roman" w:hAnsi="Times New Roman" w:cs="Times New Roman"/>
        </w:rPr>
        <w:t>Investment View: BUY</w:t>
      </w:r>
    </w:p>
    <w:p w14:paraId="77032522" w14:textId="77777777" w:rsidR="006D5869" w:rsidRPr="006D5869" w:rsidRDefault="006D5869" w:rsidP="00114EA6">
      <w:pPr>
        <w:ind w:firstLine="0"/>
        <w:rPr>
          <w:rFonts w:ascii="Times New Roman" w:hAnsi="Times New Roman" w:cs="Times New Roman"/>
        </w:rPr>
      </w:pPr>
      <w:r w:rsidRPr="006D5869">
        <w:rPr>
          <w:rFonts w:ascii="Times New Roman" w:hAnsi="Times New Roman" w:cs="Times New Roman"/>
        </w:rPr>
        <w:t xml:space="preserve">Under the assumptions used in this project, HDFC Bank presents a constructive risk-reward profile. The base case indicates approximately </w:t>
      </w:r>
      <w:r w:rsidRPr="006D5869">
        <w:rPr>
          <w:rFonts w:ascii="Times New Roman" w:hAnsi="Times New Roman" w:cs="Times New Roman"/>
          <w:b/>
          <w:bCs/>
        </w:rPr>
        <w:t>23% potential upside</w:t>
      </w:r>
      <w:r w:rsidRPr="006D5869">
        <w:rPr>
          <w:rFonts w:ascii="Times New Roman" w:hAnsi="Times New Roman" w:cs="Times New Roman"/>
        </w:rPr>
        <w:t>, while the bull case provides substantially higher upside if book-value growth and valuation multiples outperform expectations.</w:t>
      </w:r>
    </w:p>
    <w:p w14:paraId="4EB476E5" w14:textId="77777777" w:rsidR="006D5869" w:rsidRPr="006D5869" w:rsidRDefault="006D5869" w:rsidP="00114EA6">
      <w:pPr>
        <w:ind w:firstLine="0"/>
        <w:rPr>
          <w:rFonts w:ascii="Times New Roman" w:hAnsi="Times New Roman" w:cs="Times New Roman"/>
        </w:rPr>
      </w:pPr>
      <w:r w:rsidRPr="006D5869">
        <w:rPr>
          <w:rFonts w:ascii="Times New Roman" w:hAnsi="Times New Roman" w:cs="Times New Roman"/>
        </w:rPr>
        <w:t>The recommendation is conditional on the assumptions used in the model and should not be interpreted as a guarantee of future returns. Continued monitoring of NIM, loan growth, deposit growth, asset quality, credit costs, ROE and valuation multiples is necessary to determine whether the investment thesis remains valid.</w:t>
      </w:r>
    </w:p>
    <w:p w14:paraId="226CEBCD" w14:textId="77777777" w:rsidR="002E6579" w:rsidRDefault="002E6579" w:rsidP="00114EA6">
      <w:pPr>
        <w:ind w:firstLine="0"/>
        <w:rPr>
          <w:rFonts w:ascii="Times New Roman" w:hAnsi="Times New Roman" w:cs="Times New Roman"/>
        </w:rPr>
      </w:pPr>
    </w:p>
    <w:p w14:paraId="2FD83D63" w14:textId="374A3D52" w:rsidR="006D5869" w:rsidRDefault="00E160A1" w:rsidP="00114EA6">
      <w:pPr>
        <w:ind w:firstLine="0"/>
        <w:rPr>
          <w:rFonts w:ascii="Times New Roman" w:hAnsi="Times New Roman" w:cs="Times New Roman"/>
          <w:b/>
          <w:bCs/>
          <w:sz w:val="28"/>
          <w:szCs w:val="28"/>
        </w:rPr>
      </w:pPr>
      <w:r w:rsidRPr="00E160A1">
        <w:rPr>
          <w:rFonts w:ascii="Times New Roman" w:hAnsi="Times New Roman" w:cs="Times New Roman"/>
          <w:b/>
          <w:bCs/>
          <w:sz w:val="28"/>
          <w:szCs w:val="28"/>
        </w:rPr>
        <w:t>CONCLUSION</w:t>
      </w:r>
    </w:p>
    <w:p w14:paraId="1B354A43" w14:textId="77777777" w:rsidR="004E4C90" w:rsidRPr="004E4C90" w:rsidRDefault="004E4C90" w:rsidP="00114EA6">
      <w:pPr>
        <w:ind w:firstLine="0"/>
        <w:rPr>
          <w:rFonts w:ascii="Times New Roman" w:hAnsi="Times New Roman" w:cs="Times New Roman"/>
        </w:rPr>
      </w:pPr>
      <w:r w:rsidRPr="004E4C90">
        <w:rPr>
          <w:rFonts w:ascii="Times New Roman" w:hAnsi="Times New Roman" w:cs="Times New Roman"/>
        </w:rPr>
        <w:t>This project evaluated HDFC Bank from an equity research perspective using historical financial analysis, banking-sector metrics, peer comparison, forward projections and valuation analysis.</w:t>
      </w:r>
    </w:p>
    <w:p w14:paraId="666EB9E3" w14:textId="77777777" w:rsidR="004E4C90" w:rsidRPr="004E4C90" w:rsidRDefault="004E4C90" w:rsidP="00114EA6">
      <w:pPr>
        <w:ind w:firstLine="0"/>
        <w:rPr>
          <w:rFonts w:ascii="Times New Roman" w:hAnsi="Times New Roman" w:cs="Times New Roman"/>
        </w:rPr>
      </w:pPr>
      <w:r w:rsidRPr="004E4C90">
        <w:rPr>
          <w:rFonts w:ascii="Times New Roman" w:hAnsi="Times New Roman" w:cs="Times New Roman"/>
        </w:rPr>
        <w:t>The analysis indicates that HDFC Bank has a strong underlying franchise supported by its scale, deposit base, capital position, profitability and relatively controlled asset quality. The bank's continued ability to grow its balance sheet while maintaining healthy margins and asset quality will be critical to sustaining shareholder returns.</w:t>
      </w:r>
    </w:p>
    <w:p w14:paraId="40DE3998" w14:textId="77777777" w:rsidR="004E4C90" w:rsidRPr="004E4C90" w:rsidRDefault="004E4C90" w:rsidP="00114EA6">
      <w:pPr>
        <w:ind w:firstLine="0"/>
        <w:rPr>
          <w:rFonts w:ascii="Times New Roman" w:hAnsi="Times New Roman" w:cs="Times New Roman"/>
        </w:rPr>
      </w:pPr>
      <w:r w:rsidRPr="004E4C90">
        <w:rPr>
          <w:rFonts w:ascii="Times New Roman" w:hAnsi="Times New Roman" w:cs="Times New Roman"/>
        </w:rPr>
        <w:t>Under the assumptions used in the model, the base-case P/B valuation produces an estimated target price of approximately ₹901.82, representing approximately 23% potential upside from the reference price of ₹732.90. The scenario analysis demonstrates a valuation range of approximately ₹711.50 to ₹1,052.25.</w:t>
      </w:r>
    </w:p>
    <w:p w14:paraId="285446ED" w14:textId="77777777" w:rsidR="004E4C90" w:rsidRDefault="004E4C90" w:rsidP="00114EA6">
      <w:pPr>
        <w:ind w:firstLine="0"/>
        <w:rPr>
          <w:rFonts w:ascii="Times New Roman" w:hAnsi="Times New Roman" w:cs="Times New Roman"/>
        </w:rPr>
      </w:pPr>
      <w:r w:rsidRPr="004E4C90">
        <w:rPr>
          <w:rFonts w:ascii="Times New Roman" w:hAnsi="Times New Roman" w:cs="Times New Roman"/>
        </w:rPr>
        <w:t>Overall, the analysis supports a BUY view under the assumptions and valuation framework used in this project. However, investors should continuously monitor NIM, credit growth, deposit growth, asset quality, credit costs, profitability and valuation multiples as these factors can materially affect the investment thesis.</w:t>
      </w:r>
    </w:p>
    <w:p w14:paraId="517DCDDA" w14:textId="77777777" w:rsidR="004E4C90" w:rsidRDefault="004E4C90" w:rsidP="00114EA6">
      <w:pPr>
        <w:ind w:firstLine="0"/>
        <w:rPr>
          <w:rFonts w:ascii="Times New Roman" w:hAnsi="Times New Roman" w:cs="Times New Roman"/>
        </w:rPr>
      </w:pPr>
    </w:p>
    <w:p w14:paraId="1E5E9753" w14:textId="624EF6D7" w:rsidR="004E4C90" w:rsidRDefault="004E4C90" w:rsidP="00114EA6">
      <w:pPr>
        <w:ind w:firstLine="0"/>
        <w:rPr>
          <w:rFonts w:ascii="Times New Roman" w:hAnsi="Times New Roman" w:cs="Times New Roman"/>
          <w:b/>
          <w:bCs/>
          <w:sz w:val="28"/>
          <w:szCs w:val="28"/>
        </w:rPr>
      </w:pPr>
      <w:r w:rsidRPr="004E4C90">
        <w:rPr>
          <w:rFonts w:ascii="Times New Roman" w:hAnsi="Times New Roman" w:cs="Times New Roman"/>
          <w:b/>
          <w:bCs/>
          <w:sz w:val="28"/>
          <w:szCs w:val="28"/>
        </w:rPr>
        <w:t>METHODOLOGY &amp; DISCLAIMER</w:t>
      </w:r>
    </w:p>
    <w:p w14:paraId="677A671E" w14:textId="7B8E3F26" w:rsidR="004E4C90" w:rsidRPr="006772A9" w:rsidRDefault="003F4EAB" w:rsidP="00114EA6">
      <w:pPr>
        <w:ind w:firstLine="0"/>
        <w:rPr>
          <w:rFonts w:ascii="Times New Roman" w:hAnsi="Times New Roman" w:cs="Times New Roman"/>
          <w:b/>
          <w:bCs/>
        </w:rPr>
      </w:pPr>
      <w:r w:rsidRPr="006772A9">
        <w:rPr>
          <w:rFonts w:ascii="Times New Roman" w:hAnsi="Times New Roman" w:cs="Times New Roman"/>
          <w:b/>
          <w:bCs/>
        </w:rPr>
        <w:t>Methodology</w:t>
      </w:r>
    </w:p>
    <w:p w14:paraId="599CC210" w14:textId="77777777" w:rsidR="003F4EAB" w:rsidRPr="003F4EAB" w:rsidRDefault="003F4EAB" w:rsidP="00114EA6">
      <w:pPr>
        <w:ind w:firstLine="0"/>
        <w:rPr>
          <w:rFonts w:ascii="Times New Roman" w:hAnsi="Times New Roman" w:cs="Times New Roman"/>
        </w:rPr>
      </w:pPr>
      <w:r w:rsidRPr="003F4EAB">
        <w:rPr>
          <w:rFonts w:ascii="Times New Roman" w:hAnsi="Times New Roman" w:cs="Times New Roman"/>
        </w:rPr>
        <w:t>The analysis was performed using a combination of historical financial data, banking-sector performance indicators, analyst assumptions and a Price-to-Book valuation framework. Historical trends were used to develop forward-looking assumptions for loan growth, deposit growth, NII, profitability and book value.</w:t>
      </w:r>
    </w:p>
    <w:p w14:paraId="6DCDBCF2" w14:textId="77777777" w:rsidR="003F4EAB" w:rsidRDefault="003F4EAB" w:rsidP="00114EA6">
      <w:pPr>
        <w:ind w:firstLine="0"/>
        <w:rPr>
          <w:rFonts w:ascii="Times New Roman" w:hAnsi="Times New Roman" w:cs="Times New Roman"/>
        </w:rPr>
      </w:pPr>
      <w:r w:rsidRPr="003F4EAB">
        <w:rPr>
          <w:rFonts w:ascii="Times New Roman" w:hAnsi="Times New Roman" w:cs="Times New Roman"/>
        </w:rPr>
        <w:t>The valuation incorporates Bear, Base and Bull scenarios to account for uncertainty in future growth and market valuation multiples. Excel was used to perform the financial calculations, build the forecasting model and generate analytical charts.</w:t>
      </w:r>
    </w:p>
    <w:p w14:paraId="3F0BC8FB" w14:textId="77777777" w:rsidR="003F4EAB" w:rsidRDefault="003F4EAB" w:rsidP="00114EA6">
      <w:pPr>
        <w:ind w:firstLine="0"/>
        <w:rPr>
          <w:rFonts w:ascii="Times New Roman" w:hAnsi="Times New Roman" w:cs="Times New Roman"/>
        </w:rPr>
      </w:pPr>
    </w:p>
    <w:p w14:paraId="6507A9F9" w14:textId="4F2B2013" w:rsidR="003F4EAB" w:rsidRDefault="006772A9" w:rsidP="00114EA6">
      <w:pPr>
        <w:ind w:firstLine="0"/>
        <w:rPr>
          <w:rFonts w:ascii="Times New Roman" w:hAnsi="Times New Roman" w:cs="Times New Roman"/>
          <w:b/>
          <w:bCs/>
        </w:rPr>
      </w:pPr>
      <w:r w:rsidRPr="006772A9">
        <w:rPr>
          <w:rFonts w:ascii="Times New Roman" w:hAnsi="Times New Roman" w:cs="Times New Roman"/>
          <w:b/>
          <w:bCs/>
        </w:rPr>
        <w:t>Disclaimer</w:t>
      </w:r>
    </w:p>
    <w:p w14:paraId="63C646B6" w14:textId="76AB41BB" w:rsidR="006772A9" w:rsidRDefault="002F4109" w:rsidP="00114EA6">
      <w:pPr>
        <w:ind w:firstLine="0"/>
        <w:rPr>
          <w:rFonts w:ascii="Times New Roman" w:hAnsi="Times New Roman" w:cs="Times New Roman"/>
        </w:rPr>
      </w:pPr>
      <w:r w:rsidRPr="002F4109">
        <w:rPr>
          <w:rFonts w:ascii="Times New Roman" w:hAnsi="Times New Roman" w:cs="Times New Roman"/>
        </w:rPr>
        <w:t>This report has been prepared as an academic and portfolio project to demonstrate equity research and financial analysis skills. It is not investment advice or a recommendation to buy or sell securities. The projections, assumptions and valuation estimates are the author's own analytical estimates and may differ materially from actual future results.</w:t>
      </w:r>
    </w:p>
    <w:p w14:paraId="42510175" w14:textId="77777777" w:rsidR="002F4109" w:rsidRDefault="002F4109" w:rsidP="00114EA6">
      <w:pPr>
        <w:ind w:firstLine="0"/>
        <w:rPr>
          <w:rFonts w:ascii="Times New Roman" w:hAnsi="Times New Roman" w:cs="Times New Roman"/>
        </w:rPr>
      </w:pPr>
    </w:p>
    <w:p w14:paraId="56262173" w14:textId="71DCE52E" w:rsidR="002F4109" w:rsidRDefault="002F4109" w:rsidP="00114EA6">
      <w:pPr>
        <w:ind w:firstLine="0"/>
        <w:rPr>
          <w:rFonts w:ascii="Times New Roman" w:hAnsi="Times New Roman" w:cs="Times New Roman"/>
          <w:b/>
          <w:bCs/>
          <w:sz w:val="28"/>
          <w:szCs w:val="28"/>
        </w:rPr>
      </w:pPr>
      <w:r w:rsidRPr="002F4109">
        <w:rPr>
          <w:rFonts w:ascii="Times New Roman" w:hAnsi="Times New Roman" w:cs="Times New Roman"/>
          <w:b/>
          <w:bCs/>
          <w:sz w:val="28"/>
          <w:szCs w:val="28"/>
        </w:rPr>
        <w:t>Sources</w:t>
      </w:r>
    </w:p>
    <w:p w14:paraId="5F01B8CB" w14:textId="4BED820F" w:rsidR="009221B6" w:rsidRPr="009221B6" w:rsidRDefault="009221B6" w:rsidP="00114EA6">
      <w:pPr>
        <w:pStyle w:val="ListParagraph"/>
        <w:numPr>
          <w:ilvl w:val="1"/>
          <w:numId w:val="6"/>
        </w:numPr>
        <w:rPr>
          <w:rFonts w:ascii="Times New Roman" w:hAnsi="Times New Roman" w:cs="Times New Roman"/>
        </w:rPr>
      </w:pPr>
      <w:r w:rsidRPr="009221B6">
        <w:rPr>
          <w:rFonts w:ascii="Times New Roman" w:hAnsi="Times New Roman" w:cs="Times New Roman"/>
        </w:rPr>
        <w:t xml:space="preserve">HDFC Bank — Annual Reports and Financial Results </w:t>
      </w:r>
    </w:p>
    <w:p w14:paraId="601B2753" w14:textId="6309CF63" w:rsidR="009221B6" w:rsidRPr="009221B6" w:rsidRDefault="009221B6" w:rsidP="00114EA6">
      <w:pPr>
        <w:pStyle w:val="ListParagraph"/>
        <w:numPr>
          <w:ilvl w:val="1"/>
          <w:numId w:val="6"/>
        </w:numPr>
        <w:rPr>
          <w:rFonts w:ascii="Times New Roman" w:hAnsi="Times New Roman" w:cs="Times New Roman"/>
        </w:rPr>
      </w:pPr>
      <w:r w:rsidRPr="009221B6">
        <w:rPr>
          <w:rFonts w:ascii="Times New Roman" w:hAnsi="Times New Roman" w:cs="Times New Roman"/>
        </w:rPr>
        <w:t xml:space="preserve">HDFC Bank — Investor Presentations </w:t>
      </w:r>
    </w:p>
    <w:p w14:paraId="0CC0845B" w14:textId="3DCFE2D8" w:rsidR="009221B6" w:rsidRPr="009221B6" w:rsidRDefault="009221B6" w:rsidP="00114EA6">
      <w:pPr>
        <w:pStyle w:val="ListParagraph"/>
        <w:numPr>
          <w:ilvl w:val="1"/>
          <w:numId w:val="6"/>
        </w:numPr>
        <w:rPr>
          <w:rFonts w:ascii="Times New Roman" w:hAnsi="Times New Roman" w:cs="Times New Roman"/>
        </w:rPr>
      </w:pPr>
      <w:r w:rsidRPr="009221B6">
        <w:rPr>
          <w:rFonts w:ascii="Times New Roman" w:hAnsi="Times New Roman" w:cs="Times New Roman"/>
        </w:rPr>
        <w:t xml:space="preserve">HDFC Bank — Investor Relations </w:t>
      </w:r>
    </w:p>
    <w:p w14:paraId="50A24B6F" w14:textId="57B48558" w:rsidR="009221B6" w:rsidRPr="009221B6" w:rsidRDefault="009221B6" w:rsidP="00114EA6">
      <w:pPr>
        <w:pStyle w:val="ListParagraph"/>
        <w:numPr>
          <w:ilvl w:val="1"/>
          <w:numId w:val="6"/>
        </w:numPr>
        <w:rPr>
          <w:rFonts w:ascii="Times New Roman" w:hAnsi="Times New Roman" w:cs="Times New Roman"/>
        </w:rPr>
      </w:pPr>
      <w:r w:rsidRPr="009221B6">
        <w:rPr>
          <w:rFonts w:ascii="Times New Roman" w:hAnsi="Times New Roman" w:cs="Times New Roman"/>
        </w:rPr>
        <w:t xml:space="preserve">Stock exchange / publicly available market data </w:t>
      </w:r>
    </w:p>
    <w:p w14:paraId="1F4AF2A1" w14:textId="59C3567F" w:rsidR="002F4109" w:rsidRDefault="009221B6" w:rsidP="00114EA6">
      <w:pPr>
        <w:pStyle w:val="ListParagraph"/>
        <w:numPr>
          <w:ilvl w:val="1"/>
          <w:numId w:val="6"/>
        </w:numPr>
        <w:rPr>
          <w:rFonts w:ascii="Times New Roman" w:hAnsi="Times New Roman" w:cs="Times New Roman"/>
        </w:rPr>
      </w:pPr>
      <w:r w:rsidRPr="009221B6">
        <w:rPr>
          <w:rFonts w:ascii="Times New Roman" w:hAnsi="Times New Roman" w:cs="Times New Roman"/>
        </w:rPr>
        <w:t>Publicly available banking-sector information</w:t>
      </w:r>
    </w:p>
    <w:p w14:paraId="3E93CFB8" w14:textId="77777777" w:rsidR="009221B6" w:rsidRPr="009221B6" w:rsidRDefault="009221B6" w:rsidP="00114EA6">
      <w:pPr>
        <w:ind w:firstLine="0"/>
        <w:rPr>
          <w:rFonts w:ascii="Times New Roman" w:hAnsi="Times New Roman" w:cs="Times New Roman"/>
        </w:rPr>
      </w:pPr>
    </w:p>
    <w:p w14:paraId="5C55D054" w14:textId="77777777" w:rsidR="003F4EAB" w:rsidRPr="004E4C90" w:rsidRDefault="003F4EAB" w:rsidP="00114EA6">
      <w:pPr>
        <w:ind w:firstLine="0"/>
        <w:rPr>
          <w:rFonts w:ascii="Times New Roman" w:hAnsi="Times New Roman" w:cs="Times New Roman"/>
          <w:b/>
          <w:bCs/>
          <w:sz w:val="28"/>
          <w:szCs w:val="28"/>
        </w:rPr>
      </w:pPr>
    </w:p>
    <w:p w14:paraId="1BD6C532" w14:textId="77777777" w:rsidR="00E160A1" w:rsidRPr="00E160A1" w:rsidRDefault="00E160A1" w:rsidP="00114EA6">
      <w:pPr>
        <w:ind w:firstLine="0"/>
        <w:rPr>
          <w:rFonts w:ascii="Times New Roman" w:hAnsi="Times New Roman" w:cs="Times New Roman"/>
          <w:b/>
          <w:bCs/>
          <w:sz w:val="28"/>
          <w:szCs w:val="28"/>
        </w:rPr>
      </w:pPr>
    </w:p>
    <w:p w14:paraId="27DFF634" w14:textId="77777777" w:rsidR="00AE4C66" w:rsidRPr="00744BAA" w:rsidRDefault="00AE4C66" w:rsidP="00114EA6">
      <w:pPr>
        <w:ind w:firstLine="0"/>
        <w:rPr>
          <w:rFonts w:ascii="Times New Roman" w:hAnsi="Times New Roman" w:cs="Times New Roman"/>
        </w:rPr>
      </w:pPr>
    </w:p>
    <w:p w14:paraId="703D5227" w14:textId="77777777" w:rsidR="00744BAA" w:rsidRPr="00744BAA" w:rsidRDefault="00744BAA" w:rsidP="00114EA6">
      <w:pPr>
        <w:ind w:firstLine="0"/>
        <w:rPr>
          <w:rFonts w:ascii="Times New Roman" w:hAnsi="Times New Roman" w:cs="Times New Roman"/>
          <w:b/>
          <w:bCs/>
        </w:rPr>
      </w:pPr>
    </w:p>
    <w:p w14:paraId="18538908" w14:textId="77777777" w:rsidR="00746A81" w:rsidRPr="00746A81" w:rsidRDefault="00746A81" w:rsidP="00114EA6">
      <w:pPr>
        <w:ind w:firstLine="0"/>
        <w:rPr>
          <w:rFonts w:ascii="Times New Roman" w:hAnsi="Times New Roman" w:cs="Times New Roman"/>
          <w:b/>
          <w:bCs/>
        </w:rPr>
      </w:pPr>
    </w:p>
    <w:p w14:paraId="66A917BF" w14:textId="77777777" w:rsidR="00EC28CD" w:rsidRPr="00EC28CD" w:rsidRDefault="00EC28CD" w:rsidP="00114EA6">
      <w:pPr>
        <w:ind w:firstLine="0"/>
        <w:rPr>
          <w:rFonts w:ascii="Times New Roman" w:hAnsi="Times New Roman" w:cs="Times New Roman"/>
          <w:b/>
          <w:bCs/>
        </w:rPr>
      </w:pPr>
    </w:p>
    <w:p w14:paraId="3CFD43E6" w14:textId="77777777" w:rsidR="002D08DD" w:rsidRPr="002D08DD" w:rsidRDefault="002D08DD" w:rsidP="00114EA6">
      <w:pPr>
        <w:ind w:firstLine="0"/>
        <w:rPr>
          <w:rFonts w:ascii="Times New Roman" w:hAnsi="Times New Roman" w:cs="Times New Roman"/>
          <w:b/>
          <w:bCs/>
        </w:rPr>
      </w:pPr>
    </w:p>
    <w:p w14:paraId="11EF327C" w14:textId="77777777" w:rsidR="00B92B74" w:rsidRPr="00B92B74" w:rsidRDefault="00B92B74" w:rsidP="00114EA6">
      <w:pPr>
        <w:ind w:firstLine="0"/>
        <w:rPr>
          <w:rFonts w:ascii="Times New Roman" w:hAnsi="Times New Roman" w:cs="Times New Roman"/>
          <w:b/>
          <w:bCs/>
        </w:rPr>
      </w:pPr>
    </w:p>
    <w:p w14:paraId="27D5005F" w14:textId="77777777" w:rsidR="007113B7" w:rsidRPr="007113B7" w:rsidRDefault="007113B7" w:rsidP="00114EA6">
      <w:pPr>
        <w:ind w:firstLine="0"/>
        <w:rPr>
          <w:rFonts w:ascii="Times New Roman" w:hAnsi="Times New Roman" w:cs="Times New Roman"/>
          <w:b/>
          <w:bCs/>
        </w:rPr>
      </w:pPr>
    </w:p>
    <w:p w14:paraId="0953F326" w14:textId="77777777" w:rsidR="00B90130" w:rsidRPr="00B90130" w:rsidRDefault="00B90130" w:rsidP="00114EA6">
      <w:pPr>
        <w:ind w:firstLine="0"/>
        <w:rPr>
          <w:rFonts w:ascii="Times New Roman" w:hAnsi="Times New Roman" w:cs="Times New Roman"/>
          <w:b/>
          <w:bCs/>
        </w:rPr>
      </w:pPr>
    </w:p>
    <w:p w14:paraId="7B57E57E" w14:textId="77777777" w:rsidR="006C36E4" w:rsidRPr="006C36E4" w:rsidRDefault="006C36E4" w:rsidP="00114EA6">
      <w:pPr>
        <w:ind w:firstLine="0"/>
        <w:rPr>
          <w:rFonts w:ascii="Times New Roman" w:hAnsi="Times New Roman" w:cs="Times New Roman"/>
          <w:b/>
          <w:bCs/>
          <w:sz w:val="28"/>
          <w:szCs w:val="28"/>
        </w:rPr>
      </w:pPr>
    </w:p>
    <w:p w14:paraId="19CAAA5D" w14:textId="77777777" w:rsidR="00C6354C" w:rsidRPr="00C6354C" w:rsidRDefault="00C6354C" w:rsidP="00114EA6">
      <w:pPr>
        <w:ind w:firstLine="0"/>
        <w:rPr>
          <w:rFonts w:ascii="Times New Roman" w:hAnsi="Times New Roman" w:cs="Times New Roman"/>
          <w:b/>
          <w:bCs/>
        </w:rPr>
      </w:pPr>
    </w:p>
    <w:p w14:paraId="1F1299D4" w14:textId="77777777" w:rsidR="00C9029C" w:rsidRPr="00C9029C" w:rsidRDefault="00C9029C" w:rsidP="00114EA6">
      <w:pPr>
        <w:ind w:firstLine="0"/>
        <w:rPr>
          <w:rFonts w:ascii="Times New Roman" w:hAnsi="Times New Roman" w:cs="Times New Roman"/>
          <w:b/>
          <w:bCs/>
        </w:rPr>
      </w:pPr>
    </w:p>
    <w:p w14:paraId="2F10C9E7" w14:textId="77777777" w:rsidR="00675EBA" w:rsidRPr="00675EBA" w:rsidRDefault="00675EBA" w:rsidP="00114EA6">
      <w:pPr>
        <w:ind w:firstLine="0"/>
        <w:rPr>
          <w:rFonts w:ascii="Times New Roman" w:hAnsi="Times New Roman" w:cs="Times New Roman"/>
          <w:b/>
          <w:bCs/>
        </w:rPr>
      </w:pPr>
    </w:p>
    <w:p w14:paraId="2CEB8683" w14:textId="77777777" w:rsidR="00B3005C" w:rsidRPr="00B3005C" w:rsidRDefault="00B3005C" w:rsidP="00114EA6">
      <w:pPr>
        <w:ind w:firstLine="0"/>
        <w:rPr>
          <w:rFonts w:ascii="Times New Roman" w:hAnsi="Times New Roman" w:cs="Times New Roman"/>
          <w:b/>
          <w:bCs/>
          <w:sz w:val="28"/>
          <w:szCs w:val="28"/>
        </w:rPr>
      </w:pPr>
    </w:p>
    <w:p w14:paraId="324A98FE" w14:textId="77777777" w:rsidR="002C406C" w:rsidRPr="002C406C" w:rsidRDefault="002C406C" w:rsidP="00114EA6">
      <w:pPr>
        <w:ind w:firstLine="0"/>
        <w:rPr>
          <w:rFonts w:ascii="Times New Roman" w:hAnsi="Times New Roman" w:cs="Times New Roman"/>
          <w:b/>
          <w:bCs/>
        </w:rPr>
      </w:pPr>
    </w:p>
    <w:p w14:paraId="15A497D8" w14:textId="77777777" w:rsidR="00FF4F2B" w:rsidRPr="00CD5170" w:rsidRDefault="00FF4F2B" w:rsidP="00114EA6">
      <w:pPr>
        <w:ind w:firstLine="0"/>
        <w:rPr>
          <w:rFonts w:ascii="Times New Roman" w:hAnsi="Times New Roman" w:cs="Times New Roman"/>
          <w:b/>
          <w:bCs/>
        </w:rPr>
      </w:pPr>
    </w:p>
    <w:p w14:paraId="3F6B3BB0" w14:textId="77777777" w:rsidR="00CD5170" w:rsidRPr="00CD5170" w:rsidRDefault="00CD5170" w:rsidP="00114EA6">
      <w:pPr>
        <w:ind w:firstLine="0"/>
        <w:rPr>
          <w:rFonts w:ascii="Times New Roman" w:hAnsi="Times New Roman" w:cs="Times New Roman"/>
          <w:b/>
          <w:bCs/>
        </w:rPr>
      </w:pPr>
    </w:p>
    <w:p w14:paraId="7AAEAB8E" w14:textId="77777777" w:rsidR="00C100C8" w:rsidRPr="00F262C0" w:rsidRDefault="00C100C8" w:rsidP="00114EA6">
      <w:pPr>
        <w:ind w:firstLine="0"/>
        <w:rPr>
          <w:rFonts w:ascii="Times New Roman" w:hAnsi="Times New Roman" w:cs="Times New Roman"/>
          <w:b/>
          <w:bCs/>
        </w:rPr>
      </w:pPr>
    </w:p>
    <w:p w14:paraId="3434B279" w14:textId="77777777" w:rsidR="00575E9C" w:rsidRPr="00575E9C" w:rsidRDefault="00575E9C" w:rsidP="00114EA6">
      <w:pPr>
        <w:ind w:firstLine="0"/>
        <w:rPr>
          <w:rFonts w:ascii="Times New Roman" w:hAnsi="Times New Roman" w:cs="Times New Roman"/>
          <w:b/>
          <w:bCs/>
          <w:sz w:val="28"/>
          <w:szCs w:val="28"/>
        </w:rPr>
      </w:pPr>
    </w:p>
    <w:p w14:paraId="0FEC9DBE" w14:textId="77777777" w:rsidR="00742573" w:rsidRPr="00742573" w:rsidRDefault="00742573" w:rsidP="00114EA6">
      <w:pPr>
        <w:ind w:firstLine="0"/>
        <w:rPr>
          <w:rFonts w:ascii="Times New Roman" w:hAnsi="Times New Roman" w:cs="Times New Roman"/>
          <w:b/>
          <w:bCs/>
          <w:sz w:val="28"/>
          <w:szCs w:val="28"/>
        </w:rPr>
      </w:pPr>
    </w:p>
    <w:p w14:paraId="564814B5" w14:textId="77777777" w:rsidR="00CA39CC" w:rsidRPr="00CA39CC" w:rsidRDefault="00CA39CC" w:rsidP="00114EA6">
      <w:pPr>
        <w:ind w:firstLine="0"/>
        <w:rPr>
          <w:rFonts w:ascii="Times New Roman" w:hAnsi="Times New Roman" w:cs="Times New Roman"/>
          <w:b/>
          <w:bCs/>
          <w:sz w:val="28"/>
          <w:szCs w:val="28"/>
        </w:rPr>
      </w:pPr>
    </w:p>
    <w:p w14:paraId="0086179E" w14:textId="77777777" w:rsidR="00386692" w:rsidRPr="00386692" w:rsidRDefault="00386692" w:rsidP="00114EA6">
      <w:pPr>
        <w:ind w:firstLine="0"/>
        <w:rPr>
          <w:rFonts w:ascii="Times New Roman" w:hAnsi="Times New Roman" w:cs="Times New Roman"/>
          <w:b/>
          <w:bCs/>
          <w:sz w:val="28"/>
          <w:szCs w:val="28"/>
        </w:rPr>
      </w:pPr>
    </w:p>
    <w:p w14:paraId="4CEFE166" w14:textId="77777777" w:rsidR="00186C56" w:rsidRPr="00186C56" w:rsidRDefault="00186C56" w:rsidP="00114EA6">
      <w:pPr>
        <w:rPr>
          <w:rFonts w:ascii="Times New Roman" w:hAnsi="Times New Roman" w:cs="Times New Roman"/>
          <w:b/>
          <w:bCs/>
          <w:sz w:val="28"/>
          <w:szCs w:val="28"/>
        </w:rPr>
      </w:pPr>
    </w:p>
    <w:sectPr w:rsidR="00186C56" w:rsidRPr="00186C5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5D029B"/>
    <w:multiLevelType w:val="hybridMultilevel"/>
    <w:tmpl w:val="5DECA1F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4B55485B"/>
    <w:multiLevelType w:val="hybridMultilevel"/>
    <w:tmpl w:val="7D6E44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F366915"/>
    <w:multiLevelType w:val="hybridMultilevel"/>
    <w:tmpl w:val="256E390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61F416B5"/>
    <w:multiLevelType w:val="hybridMultilevel"/>
    <w:tmpl w:val="7206BA5E"/>
    <w:lvl w:ilvl="0" w:tplc="FFFFFFFF">
      <w:start w:val="1"/>
      <w:numFmt w:val="decimal"/>
      <w:lvlText w:val="%1."/>
      <w:lvlJc w:val="left"/>
      <w:pPr>
        <w:ind w:left="720" w:hanging="360"/>
      </w:pPr>
    </w:lvl>
    <w:lvl w:ilvl="1" w:tplc="4009000F">
      <w:start w:val="1"/>
      <w:numFmt w:val="decimal"/>
      <w:lvlText w:val="%2."/>
      <w:lvlJc w:val="left"/>
      <w:pPr>
        <w:ind w:left="72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5095E3A"/>
    <w:multiLevelType w:val="hybridMultilevel"/>
    <w:tmpl w:val="5FAEF5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748B5A45"/>
    <w:multiLevelType w:val="multilevel"/>
    <w:tmpl w:val="B6D4701C"/>
    <w:lvl w:ilvl="0">
      <w:start w:val="1"/>
      <w:numFmt w:val="decimal"/>
      <w:lvlText w:val="%1."/>
      <w:lvlJc w:val="left"/>
      <w:pPr>
        <w:tabs>
          <w:tab w:val="num" w:pos="720"/>
        </w:tabs>
        <w:ind w:left="720" w:hanging="360"/>
      </w:pPr>
    </w:lvl>
    <w:lvl w:ilvl="1">
      <w:numFmt w:val="bullet"/>
      <w:lvlText w:val=""/>
      <w:lvlJc w:val="left"/>
      <w:pPr>
        <w:ind w:left="1440" w:hanging="360"/>
      </w:pPr>
      <w:rPr>
        <w:rFonts w:ascii="Times New Roman" w:eastAsiaTheme="minorHAnsi" w:hAnsi="Times New Roman" w:cs="Times New Roman" w:hint="default"/>
        <w:b/>
        <w:sz w:val="28"/>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20851007">
    <w:abstractNumId w:val="1"/>
  </w:num>
  <w:num w:numId="2" w16cid:durableId="957377462">
    <w:abstractNumId w:val="4"/>
  </w:num>
  <w:num w:numId="3" w16cid:durableId="1823346272">
    <w:abstractNumId w:val="5"/>
  </w:num>
  <w:num w:numId="4" w16cid:durableId="1467551758">
    <w:abstractNumId w:val="0"/>
  </w:num>
  <w:num w:numId="5" w16cid:durableId="964239937">
    <w:abstractNumId w:val="2"/>
  </w:num>
  <w:num w:numId="6" w16cid:durableId="13373485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0A3"/>
    <w:rsid w:val="00114EA6"/>
    <w:rsid w:val="00186C56"/>
    <w:rsid w:val="001C3AB0"/>
    <w:rsid w:val="00286483"/>
    <w:rsid w:val="002A4E4E"/>
    <w:rsid w:val="002A60A3"/>
    <w:rsid w:val="002C406C"/>
    <w:rsid w:val="002D08DD"/>
    <w:rsid w:val="002E3E94"/>
    <w:rsid w:val="002E6579"/>
    <w:rsid w:val="002F4109"/>
    <w:rsid w:val="00303D70"/>
    <w:rsid w:val="003456F7"/>
    <w:rsid w:val="00386692"/>
    <w:rsid w:val="003905A8"/>
    <w:rsid w:val="003930EA"/>
    <w:rsid w:val="003F4EAB"/>
    <w:rsid w:val="00486AB1"/>
    <w:rsid w:val="004E4C90"/>
    <w:rsid w:val="004E5D5B"/>
    <w:rsid w:val="004F3653"/>
    <w:rsid w:val="00565EC0"/>
    <w:rsid w:val="00575E9C"/>
    <w:rsid w:val="005B3109"/>
    <w:rsid w:val="006143E7"/>
    <w:rsid w:val="00675EBA"/>
    <w:rsid w:val="006772A9"/>
    <w:rsid w:val="006B1082"/>
    <w:rsid w:val="006C36E4"/>
    <w:rsid w:val="006D5869"/>
    <w:rsid w:val="007113B7"/>
    <w:rsid w:val="00742573"/>
    <w:rsid w:val="00744BAA"/>
    <w:rsid w:val="00746A81"/>
    <w:rsid w:val="00780A5D"/>
    <w:rsid w:val="007A60D9"/>
    <w:rsid w:val="007B2A69"/>
    <w:rsid w:val="00921E64"/>
    <w:rsid w:val="009221B6"/>
    <w:rsid w:val="0097473A"/>
    <w:rsid w:val="00991329"/>
    <w:rsid w:val="009C3877"/>
    <w:rsid w:val="00A12109"/>
    <w:rsid w:val="00A12F90"/>
    <w:rsid w:val="00A917B9"/>
    <w:rsid w:val="00AB207C"/>
    <w:rsid w:val="00AE4C66"/>
    <w:rsid w:val="00B15519"/>
    <w:rsid w:val="00B3005C"/>
    <w:rsid w:val="00B46D1D"/>
    <w:rsid w:val="00B6238E"/>
    <w:rsid w:val="00B90130"/>
    <w:rsid w:val="00B92B74"/>
    <w:rsid w:val="00C100C8"/>
    <w:rsid w:val="00C6354C"/>
    <w:rsid w:val="00C9029C"/>
    <w:rsid w:val="00CA39CC"/>
    <w:rsid w:val="00CD5170"/>
    <w:rsid w:val="00D11CD2"/>
    <w:rsid w:val="00DA16D2"/>
    <w:rsid w:val="00DF31CB"/>
    <w:rsid w:val="00DF4361"/>
    <w:rsid w:val="00E160A1"/>
    <w:rsid w:val="00E47F50"/>
    <w:rsid w:val="00E603B2"/>
    <w:rsid w:val="00E8526F"/>
    <w:rsid w:val="00EA64DB"/>
    <w:rsid w:val="00EC28CD"/>
    <w:rsid w:val="00F262C0"/>
    <w:rsid w:val="00F30F86"/>
    <w:rsid w:val="00F77E02"/>
    <w:rsid w:val="00FF4F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0CD7B"/>
  <w15:chartTrackingRefBased/>
  <w15:docId w15:val="{2D876A9D-B667-4C6F-AE5F-F5E70B7AB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0A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60A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60A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60A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60A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60A3"/>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0A3"/>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0A3"/>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0A3"/>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0A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60A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60A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60A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60A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60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0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0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0A3"/>
    <w:rPr>
      <w:rFonts w:eastAsiaTheme="majorEastAsia" w:cstheme="majorBidi"/>
      <w:color w:val="272727" w:themeColor="text1" w:themeTint="D8"/>
    </w:rPr>
  </w:style>
  <w:style w:type="paragraph" w:styleId="Title">
    <w:name w:val="Title"/>
    <w:basedOn w:val="Normal"/>
    <w:next w:val="Normal"/>
    <w:link w:val="TitleChar"/>
    <w:uiPriority w:val="10"/>
    <w:qFormat/>
    <w:rsid w:val="002A60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0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0A3"/>
    <w:pPr>
      <w:numPr>
        <w:ilvl w:val="1"/>
      </w:numPr>
      <w:spacing w:after="160"/>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0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0A3"/>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A60A3"/>
    <w:rPr>
      <w:i/>
      <w:iCs/>
      <w:color w:val="404040" w:themeColor="text1" w:themeTint="BF"/>
    </w:rPr>
  </w:style>
  <w:style w:type="paragraph" w:styleId="ListParagraph">
    <w:name w:val="List Paragraph"/>
    <w:basedOn w:val="Normal"/>
    <w:uiPriority w:val="34"/>
    <w:qFormat/>
    <w:rsid w:val="002A60A3"/>
    <w:pPr>
      <w:ind w:left="720"/>
      <w:contextualSpacing/>
    </w:pPr>
  </w:style>
  <w:style w:type="character" w:styleId="IntenseEmphasis">
    <w:name w:val="Intense Emphasis"/>
    <w:basedOn w:val="DefaultParagraphFont"/>
    <w:uiPriority w:val="21"/>
    <w:qFormat/>
    <w:rsid w:val="002A60A3"/>
    <w:rPr>
      <w:i/>
      <w:iCs/>
      <w:color w:val="2F5496" w:themeColor="accent1" w:themeShade="BF"/>
    </w:rPr>
  </w:style>
  <w:style w:type="paragraph" w:styleId="IntenseQuote">
    <w:name w:val="Intense Quote"/>
    <w:basedOn w:val="Normal"/>
    <w:next w:val="Normal"/>
    <w:link w:val="IntenseQuoteChar"/>
    <w:uiPriority w:val="30"/>
    <w:qFormat/>
    <w:rsid w:val="002A60A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60A3"/>
    <w:rPr>
      <w:i/>
      <w:iCs/>
      <w:color w:val="2F5496" w:themeColor="accent1" w:themeShade="BF"/>
    </w:rPr>
  </w:style>
  <w:style w:type="character" w:styleId="IntenseReference">
    <w:name w:val="Intense Reference"/>
    <w:basedOn w:val="DefaultParagraphFont"/>
    <w:uiPriority w:val="32"/>
    <w:qFormat/>
    <w:rsid w:val="002A60A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67C075-56C1-426F-9C8B-640A5CD122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74</TotalTime>
  <Pages>14</Pages>
  <Words>3771</Words>
  <Characters>21495</Characters>
  <Application>Microsoft Office Word</Application>
  <DocSecurity>0</DocSecurity>
  <Lines>179</Lines>
  <Paragraphs>50</Paragraphs>
  <ScaleCrop>false</ScaleCrop>
  <Company/>
  <LinksUpToDate>false</LinksUpToDate>
  <CharactersWithSpaces>25216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varshitha chowdary</dc:creator>
  <cp:keywords/>
  <dc:description/>
  <cp:lastModifiedBy>varshitha chowdary</cp:lastModifiedBy>
  <cp:revision>69</cp:revision>
  <dcterms:created xsi:type="dcterms:W3CDTF">2026-08-25T05:52:00Z</dcterms:created>
  <dcterms:modified xsi:type="dcterms:W3CDTF">2026-08-25T07:06:00Z</dcterms:modified>
</cp:coreProperties>
</file>