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41130766"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w:t>
      </w:r>
      <w:r w:rsidR="00294D6C">
        <w:rPr>
          <w:rFonts w:ascii="Arial" w:hAnsi="Arial" w:cs="Arial"/>
          <w:b/>
          <w:bCs/>
          <w:i w:val="0"/>
          <w:iCs w:val="0"/>
          <w:sz w:val="32"/>
          <w:szCs w:val="32"/>
        </w:rPr>
        <w:t xml:space="preserve"> Student</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a GenAI tool (e.g., 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14:paraId="006A3526" w14:textId="77777777" w:rsidR="00294D6C" w:rsidRPr="00294D6C" w:rsidRDefault="00294D6C" w:rsidP="00294D6C">
      <w:pPr>
        <w:pStyle w:val="IntenseQuote"/>
        <w:rPr>
          <w:rFonts w:ascii="Courier New" w:hAnsi="Courier New" w:cs="Courier New"/>
          <w:i w:val="0"/>
          <w:iCs w:val="0"/>
          <w:color w:val="000000" w:themeColor="text1"/>
        </w:rPr>
      </w:pPr>
      <w:r w:rsidRPr="00294D6C">
        <w:rPr>
          <w:rFonts w:ascii="Courier New" w:hAnsi="Courier New" w:cs="Courier New"/>
          <w:i w:val="0"/>
          <w:iCs w:val="0"/>
          <w:color w:val="000000" w:themeColor="text1"/>
        </w:rPr>
        <w:t>Model Type:</w:t>
      </w:r>
    </w:p>
    <w:p w14:paraId="05859C3E" w14:textId="77777777" w:rsidR="00294D6C" w:rsidRPr="00294D6C" w:rsidRDefault="00294D6C" w:rsidP="00294D6C">
      <w:pPr>
        <w:pStyle w:val="IntenseQuote"/>
        <w:rPr>
          <w:rFonts w:ascii="Courier New" w:hAnsi="Courier New" w:cs="Courier New"/>
          <w:i w:val="0"/>
          <w:iCs w:val="0"/>
          <w:color w:val="000000" w:themeColor="text1"/>
        </w:rPr>
      </w:pPr>
      <w:r w:rsidRPr="00294D6C">
        <w:rPr>
          <w:rFonts w:ascii="Courier New" w:hAnsi="Courier New" w:cs="Courier New"/>
          <w:i w:val="0"/>
          <w:iCs w:val="0"/>
          <w:color w:val="000000" w:themeColor="text1"/>
        </w:rPr>
        <w:t>Logistic Regression (primary model), with Decision Tree as an alternative.</w:t>
      </w:r>
    </w:p>
    <w:p w14:paraId="71C7BB28" w14:textId="77777777" w:rsidR="00294D6C" w:rsidRPr="00294D6C" w:rsidRDefault="00294D6C" w:rsidP="00294D6C">
      <w:pPr>
        <w:pStyle w:val="IntenseQuote"/>
        <w:rPr>
          <w:rFonts w:ascii="Courier New" w:hAnsi="Courier New" w:cs="Courier New"/>
          <w:i w:val="0"/>
          <w:iCs w:val="0"/>
          <w:color w:val="000000" w:themeColor="text1"/>
        </w:rPr>
      </w:pPr>
    </w:p>
    <w:p w14:paraId="1663E18E" w14:textId="77777777" w:rsidR="00294D6C" w:rsidRPr="00294D6C" w:rsidRDefault="00294D6C" w:rsidP="00294D6C">
      <w:pPr>
        <w:pStyle w:val="IntenseQuote"/>
        <w:rPr>
          <w:rFonts w:ascii="Courier New" w:hAnsi="Courier New" w:cs="Courier New"/>
          <w:i w:val="0"/>
          <w:iCs w:val="0"/>
          <w:color w:val="000000" w:themeColor="text1"/>
        </w:rPr>
      </w:pPr>
      <w:r w:rsidRPr="00294D6C">
        <w:rPr>
          <w:rFonts w:ascii="Courier New" w:hAnsi="Courier New" w:cs="Courier New"/>
          <w:i w:val="0"/>
          <w:iCs w:val="0"/>
          <w:color w:val="000000" w:themeColor="text1"/>
        </w:rPr>
        <w:t>Model Logic:</w:t>
      </w:r>
    </w:p>
    <w:p w14:paraId="10D0CE18" w14:textId="77777777" w:rsidR="00294D6C" w:rsidRPr="00294D6C" w:rsidRDefault="00294D6C" w:rsidP="00294D6C">
      <w:pPr>
        <w:pStyle w:val="IntenseQuote"/>
        <w:rPr>
          <w:rFonts w:ascii="Courier New" w:hAnsi="Courier New" w:cs="Courier New"/>
          <w:i w:val="0"/>
          <w:iCs w:val="0"/>
          <w:color w:val="000000" w:themeColor="text1"/>
        </w:rPr>
      </w:pPr>
      <w:r w:rsidRPr="00294D6C">
        <w:rPr>
          <w:rFonts w:ascii="Courier New" w:hAnsi="Courier New" w:cs="Courier New"/>
          <w:i w:val="0"/>
          <w:iCs w:val="0"/>
          <w:color w:val="000000" w:themeColor="text1"/>
        </w:rPr>
        <w:t>The purpose of this predictive model is to identify customers who are at risk of becoming delinquent based on their financial and credit behavior. The model takes customer data such as income, credit utilization, payment history, and outstanding loan amount as input.</w:t>
      </w:r>
    </w:p>
    <w:p w14:paraId="357F2977" w14:textId="77777777" w:rsidR="00294D6C" w:rsidRPr="00294D6C" w:rsidRDefault="00294D6C" w:rsidP="00294D6C">
      <w:pPr>
        <w:pStyle w:val="IntenseQuote"/>
        <w:rPr>
          <w:rFonts w:ascii="Courier New" w:hAnsi="Courier New" w:cs="Courier New"/>
          <w:i w:val="0"/>
          <w:iCs w:val="0"/>
          <w:color w:val="000000" w:themeColor="text1"/>
        </w:rPr>
      </w:pPr>
    </w:p>
    <w:p w14:paraId="6A667D4A" w14:textId="77777777" w:rsidR="00294D6C" w:rsidRPr="00294D6C" w:rsidRDefault="00294D6C" w:rsidP="00294D6C">
      <w:pPr>
        <w:pStyle w:val="IntenseQuote"/>
        <w:rPr>
          <w:rFonts w:ascii="Courier New" w:hAnsi="Courier New" w:cs="Courier New"/>
          <w:i w:val="0"/>
          <w:iCs w:val="0"/>
          <w:color w:val="000000" w:themeColor="text1"/>
        </w:rPr>
      </w:pPr>
      <w:r w:rsidRPr="00294D6C">
        <w:rPr>
          <w:rFonts w:ascii="Courier New" w:hAnsi="Courier New" w:cs="Courier New"/>
          <w:i w:val="0"/>
          <w:iCs w:val="0"/>
          <w:color w:val="000000" w:themeColor="text1"/>
        </w:rPr>
        <w:t>The data is first reviewed to select relevant features identified during exploratory data analysis. These features are then fed into a logistic regression model, which calculates the probability of delinquency for each customer. Customers with higher probability scores are classified as high-risk, while those with lower scores are considered low-risk.</w:t>
      </w:r>
    </w:p>
    <w:p w14:paraId="78E16F86" w14:textId="77777777" w:rsidR="00294D6C" w:rsidRPr="00294D6C" w:rsidRDefault="00294D6C" w:rsidP="00294D6C">
      <w:pPr>
        <w:pStyle w:val="IntenseQuote"/>
        <w:rPr>
          <w:rFonts w:ascii="Courier New" w:hAnsi="Courier New" w:cs="Courier New"/>
          <w:i w:val="0"/>
          <w:iCs w:val="0"/>
          <w:color w:val="000000" w:themeColor="text1"/>
        </w:rPr>
      </w:pPr>
    </w:p>
    <w:p w14:paraId="6C4BE02A" w14:textId="7B805A3E" w:rsidR="004B5529" w:rsidRPr="00E31114" w:rsidRDefault="00294D6C" w:rsidP="00294D6C">
      <w:pPr>
        <w:pStyle w:val="IntenseQuote"/>
        <w:rPr>
          <w:rFonts w:ascii="Courier New" w:hAnsi="Courier New" w:cs="Courier New"/>
          <w:i w:val="0"/>
          <w:iCs w:val="0"/>
          <w:color w:val="000000" w:themeColor="text1"/>
        </w:rPr>
      </w:pPr>
      <w:r w:rsidRPr="00294D6C">
        <w:rPr>
          <w:rFonts w:ascii="Courier New" w:hAnsi="Courier New" w:cs="Courier New"/>
          <w:i w:val="0"/>
          <w:iCs w:val="0"/>
          <w:color w:val="000000" w:themeColor="text1"/>
        </w:rPr>
        <w:t>This approach helps the business proactively identify risky customers and take preventive measures.</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t>- Accuracy</w:t>
      </w:r>
      <w:r w:rsidRPr="00E31114">
        <w:rPr>
          <w:rFonts w:ascii="Arial" w:hAnsi="Arial" w:cs="Arial"/>
          <w:i w:val="0"/>
          <w:iCs w:val="0"/>
          <w:color w:val="000000" w:themeColor="text1"/>
        </w:rPr>
        <w:br/>
        <w:t>- Transparency</w:t>
      </w:r>
      <w:r w:rsidRPr="00E31114">
        <w:rPr>
          <w:rFonts w:ascii="Arial" w:hAnsi="Arial" w:cs="Arial"/>
          <w:i w:val="0"/>
          <w:iCs w:val="0"/>
          <w:color w:val="000000" w:themeColor="text1"/>
        </w:rPr>
        <w:br/>
        <w:t>- Ease of use or implementation</w:t>
      </w:r>
      <w:r w:rsidRPr="00E31114">
        <w:rPr>
          <w:rFonts w:ascii="Arial" w:hAnsi="Arial" w:cs="Arial"/>
          <w:i w:val="0"/>
          <w:iCs w:val="0"/>
          <w:color w:val="000000" w:themeColor="text1"/>
        </w:rPr>
        <w:br/>
        <w:t>- Relevance for financial prediction</w:t>
      </w:r>
      <w:r w:rsidRPr="00E31114">
        <w:rPr>
          <w:rFonts w:ascii="Arial" w:hAnsi="Arial" w:cs="Arial"/>
          <w:i w:val="0"/>
          <w:iCs w:val="0"/>
          <w:color w:val="000000" w:themeColor="text1"/>
        </w:rPr>
        <w:br/>
        <w:t>- Suitability for Geldium’s business needs</w:t>
      </w:r>
    </w:p>
    <w:p w14:paraId="54F411C9" w14:textId="77777777" w:rsidR="00294D6C" w:rsidRPr="00294D6C" w:rsidRDefault="00E31114" w:rsidP="00294D6C">
      <w:pPr>
        <w:rPr>
          <w:rFonts w:ascii="Arial" w:hAnsi="Arial" w:cs="Arial"/>
          <w:i w:val="0"/>
          <w:iCs w:val="0"/>
          <w:color w:val="000000" w:themeColor="text1"/>
        </w:rPr>
      </w:pPr>
      <w:r w:rsidRPr="00E31114">
        <w:rPr>
          <w:rFonts w:ascii="Arial" w:hAnsi="Arial" w:cs="Arial"/>
          <w:i w:val="0"/>
          <w:iCs w:val="0"/>
          <w:color w:val="000000" w:themeColor="text1"/>
        </w:rPr>
        <w:br/>
      </w:r>
      <w:r w:rsidR="00294D6C" w:rsidRPr="00294D6C">
        <w:rPr>
          <w:rFonts w:ascii="Arial" w:hAnsi="Arial" w:cs="Arial"/>
          <w:i w:val="0"/>
          <w:iCs w:val="0"/>
          <w:color w:val="000000" w:themeColor="text1"/>
        </w:rPr>
        <w:t>Logistic regression was selected because it is a simple, transparent, and widely used model for financial risk prediction. It provides probability-based outputs, which are useful for understanding how likely a customer is to become delinquent.</w:t>
      </w:r>
    </w:p>
    <w:p w14:paraId="71156B92" w14:textId="77777777" w:rsidR="00294D6C" w:rsidRPr="00294D6C" w:rsidRDefault="00294D6C" w:rsidP="00294D6C">
      <w:pPr>
        <w:rPr>
          <w:rFonts w:ascii="Arial" w:hAnsi="Arial" w:cs="Arial"/>
          <w:i w:val="0"/>
          <w:iCs w:val="0"/>
          <w:color w:val="000000" w:themeColor="text1"/>
        </w:rPr>
      </w:pPr>
      <w:r w:rsidRPr="00294D6C">
        <w:rPr>
          <w:rFonts w:ascii="Arial" w:hAnsi="Arial" w:cs="Arial"/>
          <w:i w:val="0"/>
          <w:iCs w:val="0"/>
          <w:color w:val="000000" w:themeColor="text1"/>
        </w:rPr>
        <w:t>The model is easy to interpret, making it suitable for regulatory and compliance requirements in financial services. While more complex models may capture non-linear patterns, logistic regression offers a good balance between accuracy and explainability.</w:t>
      </w:r>
    </w:p>
    <w:p w14:paraId="4169BF63" w14:textId="13F1F119" w:rsidR="004B5529" w:rsidRPr="00E31114" w:rsidRDefault="00294D6C" w:rsidP="00294D6C">
      <w:pPr>
        <w:rPr>
          <w:rFonts w:ascii="Arial" w:hAnsi="Arial" w:cs="Arial"/>
          <w:i w:val="0"/>
          <w:iCs w:val="0"/>
          <w:color w:val="000000" w:themeColor="text1"/>
        </w:rPr>
      </w:pPr>
      <w:r w:rsidRPr="00294D6C">
        <w:rPr>
          <w:rFonts w:ascii="Arial" w:hAnsi="Arial" w:cs="Arial"/>
          <w:i w:val="0"/>
          <w:iCs w:val="0"/>
          <w:color w:val="000000" w:themeColor="text1"/>
        </w:rPr>
        <w:t xml:space="preserve">This model fits </w:t>
      </w:r>
      <w:proofErr w:type="spellStart"/>
      <w:r w:rsidRPr="00294D6C">
        <w:rPr>
          <w:rFonts w:ascii="Arial" w:hAnsi="Arial" w:cs="Arial"/>
          <w:i w:val="0"/>
          <w:iCs w:val="0"/>
          <w:color w:val="000000" w:themeColor="text1"/>
        </w:rPr>
        <w:t>Geldium’s</w:t>
      </w:r>
      <w:proofErr w:type="spellEnd"/>
      <w:r w:rsidRPr="00294D6C">
        <w:rPr>
          <w:rFonts w:ascii="Arial" w:hAnsi="Arial" w:cs="Arial"/>
          <w:i w:val="0"/>
          <w:iCs w:val="0"/>
          <w:color w:val="000000" w:themeColor="text1"/>
        </w:rPr>
        <w:t xml:space="preserve"> business needs by enabling clear decision-making, easy deployment, and responsible credit risk assessment.</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14:paraId="534037A8" w14:textId="77777777" w:rsidR="00294D6C" w:rsidRPr="00294D6C" w:rsidRDefault="00E31114" w:rsidP="00294D6C">
      <w:pPr>
        <w:rPr>
          <w:rFonts w:ascii="Arial" w:hAnsi="Arial" w:cs="Arial"/>
          <w:i w:val="0"/>
          <w:iCs w:val="0"/>
          <w:color w:val="000000" w:themeColor="text1"/>
        </w:rPr>
      </w:pPr>
      <w:r w:rsidRPr="00E31114">
        <w:rPr>
          <w:rFonts w:ascii="Arial" w:hAnsi="Arial" w:cs="Arial"/>
          <w:i w:val="0"/>
          <w:iCs w:val="0"/>
          <w:color w:val="000000" w:themeColor="text1"/>
        </w:rPr>
        <w:br/>
      </w:r>
      <w:r w:rsidR="00294D6C" w:rsidRPr="00294D6C">
        <w:rPr>
          <w:rFonts w:ascii="Arial" w:hAnsi="Arial" w:cs="Arial"/>
          <w:i w:val="0"/>
          <w:iCs w:val="0"/>
          <w:color w:val="000000" w:themeColor="text1"/>
        </w:rPr>
        <w:t>The model’s performance would be evaluated using multiple metrics. Accuracy will be used to measure overall prediction correctness. Precision, recall, and F1 score will help assess how well the model identifies delinquent customers without generating excessive false alerts. The AUC-ROC score will be used to evaluate the model’s ability to distinguish between high-risk and low-risk customers.</w:t>
      </w:r>
    </w:p>
    <w:p w14:paraId="28C45022" w14:textId="77777777" w:rsidR="00294D6C" w:rsidRDefault="00294D6C" w:rsidP="00294D6C">
      <w:pPr>
        <w:rPr>
          <w:rFonts w:ascii="Arial" w:hAnsi="Arial" w:cs="Arial"/>
          <w:i w:val="0"/>
          <w:iCs w:val="0"/>
          <w:color w:val="000000" w:themeColor="text1"/>
        </w:rPr>
      </w:pPr>
      <w:r w:rsidRPr="00294D6C">
        <w:rPr>
          <w:rFonts w:ascii="Arial" w:hAnsi="Arial" w:cs="Arial"/>
          <w:i w:val="0"/>
          <w:iCs w:val="0"/>
          <w:color w:val="000000" w:themeColor="text1"/>
        </w:rPr>
        <w:t>To ensure fairness, the model will be tested across different customer groups to detect any bias or unfair treatment. Ethical considerations include avoiding discriminatory features and ensuring transparency in how predictions are made</w:t>
      </w:r>
    </w:p>
    <w:p w14:paraId="2D2F0295" w14:textId="5630CA0E" w:rsidR="004B5529" w:rsidRPr="00E31114" w:rsidRDefault="00294D6C" w:rsidP="00294D6C">
      <w:pPr>
        <w:rPr>
          <w:rFonts w:ascii="Arial" w:hAnsi="Arial" w:cs="Arial"/>
          <w:i w:val="0"/>
          <w:iCs w:val="0"/>
          <w:color w:val="000000" w:themeColor="text1"/>
        </w:rPr>
      </w:pPr>
      <w:r w:rsidRPr="00294D6C">
        <w:rPr>
          <w:rFonts w:ascii="Arial" w:hAnsi="Arial" w:cs="Arial"/>
          <w:i w:val="0"/>
          <w:iCs w:val="0"/>
          <w:color w:val="000000" w:themeColor="text1"/>
        </w:rPr>
        <w:lastRenderedPageBreak/>
        <w:t>These evaluation steps ensure the model is accurate, fair, and suitable for real-world financial decision-making.</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3D7AC" w14:textId="77777777" w:rsidR="00631FBE" w:rsidRDefault="00631FBE" w:rsidP="00E31114">
      <w:pPr>
        <w:spacing w:after="0" w:line="240" w:lineRule="auto"/>
      </w:pPr>
      <w:r>
        <w:separator/>
      </w:r>
    </w:p>
  </w:endnote>
  <w:endnote w:type="continuationSeparator" w:id="0">
    <w:p w14:paraId="6EDD829D" w14:textId="77777777" w:rsidR="00631FBE" w:rsidRDefault="00631FBE"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B4F3" w14:textId="77777777" w:rsidR="00631FBE" w:rsidRDefault="00631FBE" w:rsidP="00E31114">
      <w:pPr>
        <w:spacing w:after="0" w:line="240" w:lineRule="auto"/>
      </w:pPr>
      <w:r>
        <w:separator/>
      </w:r>
    </w:p>
  </w:footnote>
  <w:footnote w:type="continuationSeparator" w:id="0">
    <w:p w14:paraId="65255231" w14:textId="77777777" w:rsidR="00631FBE" w:rsidRDefault="00631FBE"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D6C"/>
    <w:rsid w:val="0029639D"/>
    <w:rsid w:val="00326F90"/>
    <w:rsid w:val="004B5529"/>
    <w:rsid w:val="00631FBE"/>
    <w:rsid w:val="008237CA"/>
    <w:rsid w:val="00AA1D8D"/>
    <w:rsid w:val="00B47730"/>
    <w:rsid w:val="00CB0664"/>
    <w:rsid w:val="00DE33A6"/>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varshitha ruttala</cp:lastModifiedBy>
  <cp:revision>2</cp:revision>
  <dcterms:created xsi:type="dcterms:W3CDTF">2026-02-01T04:44:00Z</dcterms:created>
  <dcterms:modified xsi:type="dcterms:W3CDTF">2026-02-01T04:44:00Z</dcterms:modified>
  <cp:category/>
</cp:coreProperties>
</file>