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501EBBAE" w14:textId="77777777" w:rsidR="009E23C8" w:rsidRPr="009E23C8" w:rsidRDefault="009E23C8" w:rsidP="009E23C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</w:t>
      </w:r>
      <w:r w:rsidRPr="009E23C8">
        <w:rPr>
          <w:rFonts w:ascii="Arial" w:hAnsi="Arial" w:cs="Arial"/>
          <w:color w:val="000000" w:themeColor="text1"/>
        </w:rPr>
        <w:t>Based on exploratory data analysis and the predictive modeling framework, certain customer segments show a consistently higher risk of delinquency. Customers with high credit utilization and a history of missed payments are more likely to default. Younger customers with multiple missed payments also demonstrate elevated delinquency risk.</w:t>
      </w:r>
    </w:p>
    <w:p w14:paraId="5D7F45A9" w14:textId="77777777" w:rsidR="009E23C8" w:rsidRPr="009E23C8" w:rsidRDefault="009E23C8" w:rsidP="009E23C8">
      <w:pPr>
        <w:rPr>
          <w:rFonts w:ascii="Arial" w:hAnsi="Arial" w:cs="Arial"/>
          <w:b/>
          <w:bCs/>
          <w:color w:val="000000" w:themeColor="text1"/>
        </w:rPr>
      </w:pPr>
      <w:r w:rsidRPr="009E23C8">
        <w:rPr>
          <w:rFonts w:ascii="Arial" w:hAnsi="Arial" w:cs="Arial"/>
          <w:b/>
          <w:bCs/>
          <w:color w:val="000000" w:themeColor="text1"/>
        </w:rPr>
        <w:t>Top 3 Risk Factors:</w:t>
      </w:r>
    </w:p>
    <w:p w14:paraId="76A04101" w14:textId="77777777" w:rsidR="009E23C8" w:rsidRPr="009E23C8" w:rsidRDefault="009E23C8" w:rsidP="009E23C8">
      <w:pPr>
        <w:rPr>
          <w:rFonts w:ascii="Arial" w:hAnsi="Arial" w:cs="Arial"/>
          <w:color w:val="000000" w:themeColor="text1"/>
        </w:rPr>
      </w:pPr>
      <w:r w:rsidRPr="009E23C8">
        <w:rPr>
          <w:rFonts w:ascii="Arial" w:hAnsi="Arial" w:cs="Arial"/>
          <w:color w:val="000000" w:themeColor="text1"/>
        </w:rPr>
        <w:t>• High credit utilization</w:t>
      </w:r>
    </w:p>
    <w:p w14:paraId="7CEAB0AE" w14:textId="77777777" w:rsidR="009E23C8" w:rsidRPr="009E23C8" w:rsidRDefault="009E23C8" w:rsidP="009E23C8">
      <w:pPr>
        <w:rPr>
          <w:rFonts w:ascii="Arial" w:hAnsi="Arial" w:cs="Arial"/>
          <w:color w:val="000000" w:themeColor="text1"/>
        </w:rPr>
      </w:pPr>
      <w:r w:rsidRPr="009E23C8">
        <w:rPr>
          <w:rFonts w:ascii="Arial" w:hAnsi="Arial" w:cs="Arial"/>
          <w:color w:val="000000" w:themeColor="text1"/>
        </w:rPr>
        <w:t>• Multiple missed payments</w:t>
      </w:r>
    </w:p>
    <w:p w14:paraId="60F471FE" w14:textId="52890403" w:rsidR="007D72C2" w:rsidRDefault="009E23C8" w:rsidP="009E23C8">
      <w:pPr>
        <w:rPr>
          <w:rFonts w:ascii="Arial" w:hAnsi="Arial" w:cs="Arial"/>
          <w:color w:val="000000" w:themeColor="text1"/>
        </w:rPr>
      </w:pPr>
      <w:r w:rsidRPr="009E23C8">
        <w:rPr>
          <w:rFonts w:ascii="Arial" w:hAnsi="Arial" w:cs="Arial"/>
          <w:color w:val="000000" w:themeColor="text1"/>
        </w:rPr>
        <w:t>• High outstanding loan balance relative to income</w:t>
      </w:r>
    </w:p>
    <w:tbl>
      <w:tblPr>
        <w:tblW w:w="5000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184"/>
        <w:gridCol w:w="1448"/>
        <w:gridCol w:w="3821"/>
        <w:gridCol w:w="2171"/>
      </w:tblGrid>
      <w:tr w:rsidR="00A537D1" w:rsidRPr="00A537D1" w14:paraId="36311A05" w14:textId="77777777" w:rsidTr="00A537D1">
        <w:trPr>
          <w:trHeight w:val="33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A537D1" w:rsidRPr="00A537D1" w14:paraId="4217145F" w14:textId="77777777" w:rsidTr="00A537D1">
        <w:trPr>
          <w:trHeight w:val="782"/>
        </w:trPr>
        <w:tc>
          <w:tcPr>
            <w:tcW w:w="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FF5A1" w14:textId="4E7657FF" w:rsidR="00A537D1" w:rsidRPr="00A537D1" w:rsidRDefault="009E23C8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9E23C8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Customers with high credit utilization and multiple missed payments have a higher likelihood of delinquency.</w:t>
            </w:r>
          </w:p>
        </w:tc>
        <w:tc>
          <w:tcPr>
            <w:tcW w:w="8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EE3BA" w14:textId="15DF55F2" w:rsidR="00A537D1" w:rsidRPr="00A537D1" w:rsidRDefault="009E23C8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9E23C8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Customers with credit utilization above 70% and two or more missed payments, particularly younger customers.</w:t>
            </w:r>
          </w:p>
        </w:tc>
        <w:tc>
          <w:tcPr>
            <w:tcW w:w="223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31FED" w14:textId="6608659E" w:rsidR="00A537D1" w:rsidRPr="00A537D1" w:rsidRDefault="009E23C8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9E23C8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Credit utilization, number of missed payments, outstanding loan amount, income level.</w:t>
            </w:r>
          </w:p>
        </w:tc>
        <w:tc>
          <w:tcPr>
            <w:tcW w:w="12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C9A44" w14:textId="0EB4D737" w:rsidR="00A537D1" w:rsidRPr="00A537D1" w:rsidRDefault="009E23C8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9E23C8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Target these customers with early interventions such as SMS reminders or flexible repayment options to reduce delinquency risk.</w:t>
            </w: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36FC6C87" w14:textId="2BD25569" w:rsidR="009E23C8" w:rsidRPr="009E23C8" w:rsidRDefault="00A537D1" w:rsidP="009E23C8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</w:t>
      </w:r>
      <w:r w:rsidR="009E23C8">
        <w:rPr>
          <w:rFonts w:ascii="Arial" w:hAnsi="Arial" w:cs="Arial"/>
          <w:color w:val="000000" w:themeColor="text1"/>
        </w:rPr>
        <w:t>k</w:t>
      </w:r>
    </w:p>
    <w:p w14:paraId="41BD45E1" w14:textId="77777777" w:rsidR="009E23C8" w:rsidRPr="009E23C8" w:rsidRDefault="009E23C8" w:rsidP="009E23C8">
      <w:pPr>
        <w:rPr>
          <w:b/>
          <w:bCs/>
        </w:rPr>
      </w:pPr>
      <w:r w:rsidRPr="009E23C8">
        <w:rPr>
          <w:b/>
          <w:bCs/>
        </w:rPr>
        <w:t>SMART Recommendation</w:t>
      </w:r>
    </w:p>
    <w:p w14:paraId="3B30C1A4" w14:textId="77777777" w:rsidR="009E23C8" w:rsidRDefault="009E23C8" w:rsidP="009E23C8">
      <w:r w:rsidRPr="009E23C8">
        <w:rPr>
          <w:b/>
          <w:bCs/>
        </w:rPr>
        <w:t>Specific</w:t>
      </w:r>
      <w:r>
        <w:t>: Launch a targeted SMS outreach program for customers with high credit utilization and two or more missed payments.</w:t>
      </w:r>
    </w:p>
    <w:p w14:paraId="41C453BD" w14:textId="77777777" w:rsidR="009E23C8" w:rsidRDefault="009E23C8" w:rsidP="009E23C8">
      <w:r w:rsidRPr="009E23C8">
        <w:rPr>
          <w:b/>
          <w:bCs/>
        </w:rPr>
        <w:t>Measurable</w:t>
      </w:r>
      <w:r>
        <w:t>: Reduce 30-day delinquency rates by 10%.</w:t>
      </w:r>
    </w:p>
    <w:p w14:paraId="7DEFADCC" w14:textId="61BA43B5" w:rsidR="009E23C8" w:rsidRDefault="009E23C8" w:rsidP="009E23C8">
      <w:r w:rsidRPr="009E23C8">
        <w:rPr>
          <w:b/>
          <w:bCs/>
        </w:rPr>
        <w:lastRenderedPageBreak/>
        <w:t>Achievable</w:t>
      </w:r>
      <w:r>
        <w:t>: SMS communication is cost-effective and easy to implement.</w:t>
      </w:r>
    </w:p>
    <w:p w14:paraId="6EEB616B" w14:textId="77777777" w:rsidR="009E23C8" w:rsidRDefault="009E23C8" w:rsidP="009E23C8">
      <w:r>
        <w:t>Relevant: Addresses the highest-risk customer segment identified by the model.</w:t>
      </w:r>
    </w:p>
    <w:p w14:paraId="57053EE1" w14:textId="77777777" w:rsidR="009E23C8" w:rsidRDefault="009E23C8" w:rsidP="009E23C8">
      <w:r>
        <w:t>Time-bound: Pilot the program over a 6-week period.</w:t>
      </w:r>
    </w:p>
    <w:p w14:paraId="5A7CC328" w14:textId="77777777" w:rsidR="009E23C8" w:rsidRDefault="009E23C8" w:rsidP="009E23C8">
      <w:r w:rsidRPr="009E23C8">
        <w:rPr>
          <w:b/>
          <w:bCs/>
        </w:rPr>
        <w:t>Rationale</w:t>
      </w:r>
      <w:r>
        <w:t>:</w:t>
      </w:r>
    </w:p>
    <w:p w14:paraId="5B39AC18" w14:textId="7F57C88B" w:rsidR="009E23C8" w:rsidRPr="009E23C8" w:rsidRDefault="009E23C8" w:rsidP="009E23C8">
      <w:r>
        <w:t>This targeted intervention focuses on customers most at risk and encourages timely repayments, helping reduce delinquency while aligning with business goals.</w:t>
      </w:r>
    </w:p>
    <w:p w14:paraId="7C946F51" w14:textId="7C6AB426" w:rsidR="009E23C8" w:rsidRDefault="00A537D1" w:rsidP="009E23C8">
      <w:pPr>
        <w:pStyle w:val="Heading1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76E13FA6" w14:textId="77777777" w:rsidR="009E23C8" w:rsidRPr="009E23C8" w:rsidRDefault="009E23C8" w:rsidP="009E23C8"/>
    <w:p w14:paraId="65BD52D2" w14:textId="77777777" w:rsidR="009E23C8" w:rsidRPr="009E23C8" w:rsidRDefault="009E23C8" w:rsidP="009E23C8">
      <w:pPr>
        <w:rPr>
          <w:rFonts w:ascii="Arial" w:hAnsi="Arial" w:cs="Arial"/>
          <w:color w:val="000000" w:themeColor="text1"/>
        </w:rPr>
      </w:pPr>
      <w:r w:rsidRPr="009E23C8">
        <w:rPr>
          <w:rFonts w:ascii="Arial" w:hAnsi="Arial" w:cs="Arial"/>
          <w:color w:val="000000" w:themeColor="text1"/>
        </w:rPr>
        <w:t>One fairness risk is that the model may unintentionally disadvantage certain customer groups. To mitigate this, model predictions should be reviewed across different segments to identify and reduce bias.</w:t>
      </w:r>
    </w:p>
    <w:p w14:paraId="655B7A94" w14:textId="77777777" w:rsidR="009E23C8" w:rsidRPr="009E23C8" w:rsidRDefault="009E23C8" w:rsidP="009E23C8">
      <w:pPr>
        <w:rPr>
          <w:rFonts w:ascii="Arial" w:hAnsi="Arial" w:cs="Arial"/>
          <w:color w:val="000000" w:themeColor="text1"/>
        </w:rPr>
      </w:pPr>
      <w:r w:rsidRPr="009E23C8">
        <w:rPr>
          <w:rFonts w:ascii="Arial" w:hAnsi="Arial" w:cs="Arial"/>
          <w:color w:val="000000" w:themeColor="text1"/>
        </w:rPr>
        <w:t>Another risk is lack of transparency. This can be addressed by clearly explaining model predictions in simple language and avoiding fully automated decision-making without human review.</w:t>
      </w:r>
    </w:p>
    <w:p w14:paraId="4C6ACC4F" w14:textId="77777777" w:rsidR="009E23C8" w:rsidRDefault="009E23C8" w:rsidP="009E23C8">
      <w:pPr>
        <w:rPr>
          <w:rFonts w:ascii="Arial" w:hAnsi="Arial" w:cs="Arial"/>
          <w:color w:val="000000" w:themeColor="text1"/>
        </w:rPr>
      </w:pPr>
      <w:r w:rsidRPr="009E23C8">
        <w:rPr>
          <w:rFonts w:ascii="Arial" w:hAnsi="Arial" w:cs="Arial"/>
          <w:color w:val="000000" w:themeColor="text1"/>
        </w:rPr>
        <w:t xml:space="preserve">This approach ensures responsible, fair, and transparent use of AI in financial </w:t>
      </w:r>
    </w:p>
    <w:p w14:paraId="33EC1793" w14:textId="382CC5F2" w:rsidR="007D72C2" w:rsidRPr="00A537D1" w:rsidRDefault="009E23C8" w:rsidP="009E23C8">
      <w:pPr>
        <w:rPr>
          <w:rFonts w:ascii="Arial" w:hAnsi="Arial" w:cs="Arial"/>
          <w:color w:val="000000" w:themeColor="text1"/>
        </w:rPr>
      </w:pPr>
      <w:r w:rsidRPr="009E23C8">
        <w:rPr>
          <w:rFonts w:ascii="Arial" w:hAnsi="Arial" w:cs="Arial"/>
          <w:color w:val="000000" w:themeColor="text1"/>
        </w:rPr>
        <w:t>decision-</w:t>
      </w:r>
      <w:proofErr w:type="gramStart"/>
      <w:r w:rsidRPr="009E23C8">
        <w:rPr>
          <w:rFonts w:ascii="Arial" w:hAnsi="Arial" w:cs="Arial"/>
          <w:color w:val="000000" w:themeColor="text1"/>
        </w:rPr>
        <w:t>making.</w:t>
      </w:r>
      <w:proofErr w:type="gramEnd"/>
    </w:p>
    <w:sectPr w:rsidR="007D72C2" w:rsidRPr="00A537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72C2"/>
    <w:rsid w:val="008237CA"/>
    <w:rsid w:val="009E23C8"/>
    <w:rsid w:val="00A537D1"/>
    <w:rsid w:val="00AA1D8D"/>
    <w:rsid w:val="00B47730"/>
    <w:rsid w:val="00CB0664"/>
    <w:rsid w:val="00DE3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varshitha ruttala</cp:lastModifiedBy>
  <cp:revision>2</cp:revision>
  <dcterms:created xsi:type="dcterms:W3CDTF">2026-02-01T04:58:00Z</dcterms:created>
  <dcterms:modified xsi:type="dcterms:W3CDTF">2026-02-01T04:58:00Z</dcterms:modified>
  <cp:category/>
</cp:coreProperties>
</file>