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rtl w:val="0"/>
        </w:rPr>
        <w:t xml:space="preserve">                 </w:t>
      </w:r>
      <w:r w:rsidDel="00000000" w:rsidR="00000000" w:rsidRPr="00000000">
        <w:rPr>
          <w:sz w:val="34"/>
          <w:szCs w:val="34"/>
          <w:rtl w:val="0"/>
        </w:rPr>
        <w:t xml:space="preserve"> </w:t>
      </w:r>
      <w:r w:rsidDel="00000000" w:rsidR="00000000" w:rsidRPr="00000000">
        <w:rPr>
          <w:b w:val="1"/>
          <w:bCs w:val="1"/>
          <w:sz w:val="34"/>
          <w:szCs w:val="34"/>
          <w:rtl w:val="0"/>
        </w:rPr>
        <w:t xml:space="preserve">POWERBI DASHBOARD DOCUMENT</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spacing w:after="240" w:before="240" w:lineRule="auto"/>
        <w:rPr>
          <w:b w:val="1"/>
          <w:bCs w:val="1"/>
          <w:color w:val="ff9900"/>
          <w:sz w:val="28"/>
          <w:szCs w:val="28"/>
        </w:rPr>
      </w:pPr>
      <w:r w:rsidDel="00000000" w:rsidR="00000000" w:rsidRPr="00000000">
        <w:rPr>
          <w:rtl w:val="0"/>
        </w:rPr>
      </w:r>
    </w:p>
    <w:p w:rsidR="00000000" w:rsidDel="00000000" w:rsidP="00000000" w:rsidRDefault="00000000" w:rsidRPr="00000000" w14:paraId="00000004">
      <w:pPr>
        <w:spacing w:after="240" w:before="240" w:lineRule="auto"/>
        <w:rPr>
          <w:b w:val="1"/>
          <w:bCs w:val="1"/>
          <w:color w:val="ff9900"/>
          <w:sz w:val="28"/>
          <w:szCs w:val="28"/>
        </w:rPr>
      </w:pPr>
      <w:r w:rsidDel="00000000" w:rsidR="00000000" w:rsidRPr="00000000">
        <w:rPr>
          <w:b w:val="1"/>
          <w:bCs w:val="1"/>
          <w:color w:val="ff9900"/>
          <w:sz w:val="28"/>
          <w:szCs w:val="28"/>
          <w:rtl w:val="0"/>
        </w:rPr>
        <w:t xml:space="preserve">The dashboard is an interactive visual representation of the Superstore dataset, created using Power BI. It consolidates charts, KPIs, and filters in one view to help analyze sales, profit, and product performance efficiently.</w:t>
      </w:r>
    </w:p>
    <w:p w:rsidR="00000000" w:rsidDel="00000000" w:rsidP="00000000" w:rsidRDefault="00000000" w:rsidRPr="00000000" w14:paraId="00000005">
      <w:pPr>
        <w:spacing w:after="240" w:before="240" w:lineRule="auto"/>
        <w:rPr>
          <w:b w:val="1"/>
          <w:bCs w:val="1"/>
          <w:color w:val="ff9900"/>
          <w:sz w:val="28"/>
          <w:szCs w:val="28"/>
        </w:rPr>
      </w:pPr>
      <w:r w:rsidDel="00000000" w:rsidR="00000000" w:rsidRPr="00000000">
        <w:rPr>
          <w:b w:val="1"/>
          <w:bCs w:val="1"/>
          <w:color w:val="ff00ff"/>
          <w:sz w:val="28"/>
          <w:szCs w:val="28"/>
          <w:rtl w:val="0"/>
        </w:rPr>
        <w:t xml:space="preserve">Charts:</w:t>
      </w:r>
      <w:r w:rsidDel="00000000" w:rsidR="00000000" w:rsidRPr="00000000">
        <w:rPr>
          <w:b w:val="1"/>
          <w:bCs w:val="1"/>
          <w:color w:val="ff9900"/>
          <w:sz w:val="28"/>
          <w:szCs w:val="28"/>
          <w:rtl w:val="0"/>
        </w:rPr>
        <w:br w:type="textWrapping"/>
      </w:r>
    </w:p>
    <w:p w:rsidR="00000000" w:rsidDel="00000000" w:rsidP="00000000" w:rsidRDefault="00000000" w:rsidRPr="00000000" w14:paraId="00000006">
      <w:pPr>
        <w:numPr>
          <w:ilvl w:val="1"/>
          <w:numId w:val="2"/>
        </w:numPr>
        <w:spacing w:after="0" w:afterAutospacing="0" w:before="240" w:lineRule="auto"/>
        <w:ind w:left="1440" w:hanging="360"/>
        <w:rPr>
          <w:b w:val="1"/>
          <w:bCs w:val="1"/>
          <w:color w:val="980000"/>
          <w:sz w:val="28"/>
          <w:szCs w:val="28"/>
        </w:rPr>
      </w:pPr>
      <w:r w:rsidDel="00000000" w:rsidR="00000000" w:rsidRPr="00000000">
        <w:rPr>
          <w:b w:val="1"/>
          <w:bCs w:val="1"/>
          <w:color w:val="ff00ff"/>
          <w:sz w:val="28"/>
          <w:szCs w:val="28"/>
          <w:rtl w:val="0"/>
        </w:rPr>
        <w:t xml:space="preserve">Line Chart:</w:t>
      </w:r>
      <w:r w:rsidDel="00000000" w:rsidR="00000000" w:rsidRPr="00000000">
        <w:rPr>
          <w:b w:val="1"/>
          <w:bCs w:val="1"/>
          <w:color w:val="980000"/>
          <w:sz w:val="28"/>
          <w:szCs w:val="28"/>
          <w:rtl w:val="0"/>
        </w:rPr>
        <w:t xml:space="preserve"> Shows sales trends over time, helping to identify seasonal patterns or growth trends.</w:t>
        <w:br w:type="textWrapping"/>
      </w:r>
    </w:p>
    <w:p w:rsidR="00000000" w:rsidDel="00000000" w:rsidP="00000000" w:rsidRDefault="00000000" w:rsidRPr="00000000" w14:paraId="00000007">
      <w:pPr>
        <w:numPr>
          <w:ilvl w:val="1"/>
          <w:numId w:val="2"/>
        </w:numPr>
        <w:spacing w:after="0" w:afterAutospacing="0" w:before="0" w:beforeAutospacing="0" w:lineRule="auto"/>
        <w:ind w:left="1440" w:hanging="360"/>
        <w:rPr>
          <w:b w:val="1"/>
          <w:bCs w:val="1"/>
          <w:color w:val="980000"/>
          <w:sz w:val="28"/>
          <w:szCs w:val="28"/>
        </w:rPr>
      </w:pPr>
      <w:r w:rsidDel="00000000" w:rsidR="00000000" w:rsidRPr="00000000">
        <w:rPr>
          <w:b w:val="1"/>
          <w:bCs w:val="1"/>
          <w:color w:val="ff00ff"/>
          <w:sz w:val="28"/>
          <w:szCs w:val="28"/>
          <w:rtl w:val="0"/>
        </w:rPr>
        <w:t xml:space="preserve">Column Chart: </w:t>
      </w:r>
      <w:r w:rsidDel="00000000" w:rsidR="00000000" w:rsidRPr="00000000">
        <w:rPr>
          <w:b w:val="1"/>
          <w:bCs w:val="1"/>
          <w:color w:val="980000"/>
          <w:sz w:val="28"/>
          <w:szCs w:val="28"/>
          <w:rtl w:val="0"/>
        </w:rPr>
        <w:t xml:space="preserve">Displays profit by sub-category or region, highlighting high-performing areas.</w:t>
        <w:br w:type="textWrapping"/>
      </w:r>
    </w:p>
    <w:p w:rsidR="00000000" w:rsidDel="00000000" w:rsidP="00000000" w:rsidRDefault="00000000" w:rsidRPr="00000000" w14:paraId="00000008">
      <w:pPr>
        <w:numPr>
          <w:ilvl w:val="1"/>
          <w:numId w:val="2"/>
        </w:numPr>
        <w:spacing w:after="0" w:afterAutospacing="0" w:before="0" w:beforeAutospacing="0" w:lineRule="auto"/>
        <w:ind w:left="1440" w:hanging="360"/>
        <w:rPr>
          <w:b w:val="1"/>
          <w:bCs w:val="1"/>
          <w:color w:val="980000"/>
          <w:sz w:val="28"/>
          <w:szCs w:val="28"/>
        </w:rPr>
      </w:pPr>
      <w:r w:rsidDel="00000000" w:rsidR="00000000" w:rsidRPr="00000000">
        <w:rPr>
          <w:b w:val="1"/>
          <w:bCs w:val="1"/>
          <w:color w:val="ff00ff"/>
          <w:sz w:val="28"/>
          <w:szCs w:val="28"/>
          <w:rtl w:val="0"/>
        </w:rPr>
        <w:t xml:space="preserve">Pie Chart:</w:t>
      </w:r>
      <w:r w:rsidDel="00000000" w:rsidR="00000000" w:rsidRPr="00000000">
        <w:rPr>
          <w:b w:val="1"/>
          <w:bCs w:val="1"/>
          <w:color w:val="980000"/>
          <w:sz w:val="28"/>
          <w:szCs w:val="28"/>
          <w:rtl w:val="0"/>
        </w:rPr>
        <w:t xml:space="preserve"> Represents the proportion of sales for each category, making it easy to see which categories contribute most.</w:t>
        <w:br w:type="textWrapping"/>
      </w:r>
    </w:p>
    <w:p w:rsidR="00000000" w:rsidDel="00000000" w:rsidP="00000000" w:rsidRDefault="00000000" w:rsidRPr="00000000" w14:paraId="00000009">
      <w:pPr>
        <w:numPr>
          <w:ilvl w:val="1"/>
          <w:numId w:val="2"/>
        </w:numPr>
        <w:spacing w:after="240" w:before="0" w:beforeAutospacing="0" w:lineRule="auto"/>
        <w:ind w:left="1440" w:hanging="360"/>
        <w:rPr>
          <w:b w:val="1"/>
          <w:bCs w:val="1"/>
          <w:color w:val="980000"/>
          <w:sz w:val="28"/>
          <w:szCs w:val="28"/>
        </w:rPr>
      </w:pPr>
      <w:r w:rsidDel="00000000" w:rsidR="00000000" w:rsidRPr="00000000">
        <w:rPr>
          <w:b w:val="1"/>
          <w:bCs w:val="1"/>
          <w:color w:val="ff00ff"/>
          <w:sz w:val="28"/>
          <w:szCs w:val="28"/>
          <w:rtl w:val="0"/>
        </w:rPr>
        <w:t xml:space="preserve">Box Plot:</w:t>
      </w:r>
      <w:r w:rsidDel="00000000" w:rsidR="00000000" w:rsidRPr="00000000">
        <w:rPr>
          <w:b w:val="1"/>
          <w:bCs w:val="1"/>
          <w:color w:val="980000"/>
          <w:sz w:val="28"/>
          <w:szCs w:val="28"/>
          <w:rtl w:val="0"/>
        </w:rPr>
        <w:t xml:space="preserve"> Shows the distribution of profit across categories, including outliers, helping identify risky or high-value segments.</w:t>
        <w:br w:type="textWrapping"/>
      </w:r>
    </w:p>
    <w:p w:rsidR="00000000" w:rsidDel="00000000" w:rsidP="00000000" w:rsidRDefault="00000000" w:rsidRPr="00000000" w14:paraId="0000000A">
      <w:pPr>
        <w:spacing w:after="240" w:before="240" w:lineRule="auto"/>
        <w:rPr>
          <w:b w:val="1"/>
          <w:bCs w:val="1"/>
          <w:color w:val="ff9900"/>
          <w:sz w:val="28"/>
          <w:szCs w:val="28"/>
        </w:rPr>
      </w:pPr>
      <w:r w:rsidDel="00000000" w:rsidR="00000000" w:rsidRPr="00000000">
        <w:rPr>
          <w:b w:val="1"/>
          <w:bCs w:val="1"/>
          <w:color w:val="ff00ff"/>
          <w:sz w:val="28"/>
          <w:szCs w:val="28"/>
          <w:rtl w:val="0"/>
        </w:rPr>
        <w:t xml:space="preserve">KPIs (Key Performance Indicators):</w:t>
      </w:r>
      <w:r w:rsidDel="00000000" w:rsidR="00000000" w:rsidRPr="00000000">
        <w:rPr>
          <w:b w:val="1"/>
          <w:bCs w:val="1"/>
          <w:color w:val="ff9900"/>
          <w:sz w:val="28"/>
          <w:szCs w:val="28"/>
          <w:rtl w:val="0"/>
        </w:rPr>
        <w:br w:type="textWrapping"/>
      </w:r>
    </w:p>
    <w:p w:rsidR="00000000" w:rsidDel="00000000" w:rsidP="00000000" w:rsidRDefault="00000000" w:rsidRPr="00000000" w14:paraId="0000000B">
      <w:pPr>
        <w:numPr>
          <w:ilvl w:val="1"/>
          <w:numId w:val="2"/>
        </w:numPr>
        <w:spacing w:after="0" w:afterAutospacing="0" w:before="240" w:lineRule="auto"/>
        <w:ind w:left="1440" w:hanging="360"/>
        <w:rPr>
          <w:b w:val="1"/>
          <w:bCs w:val="1"/>
          <w:color w:val="980000"/>
          <w:sz w:val="28"/>
          <w:szCs w:val="28"/>
        </w:rPr>
      </w:pPr>
      <w:r w:rsidDel="00000000" w:rsidR="00000000" w:rsidRPr="00000000">
        <w:rPr>
          <w:rtl w:val="0"/>
        </w:rPr>
      </w:r>
    </w:p>
    <w:p w:rsidR="00000000" w:rsidDel="00000000" w:rsidP="00000000" w:rsidRDefault="00000000" w:rsidRPr="00000000" w14:paraId="0000000C">
      <w:pPr>
        <w:numPr>
          <w:ilvl w:val="1"/>
          <w:numId w:val="2"/>
        </w:numPr>
        <w:spacing w:after="240" w:before="0" w:beforeAutospacing="0" w:lineRule="auto"/>
        <w:ind w:left="1440" w:hanging="360"/>
        <w:rPr>
          <w:b w:val="1"/>
          <w:bCs w:val="1"/>
          <w:color w:val="980000"/>
          <w:sz w:val="28"/>
          <w:szCs w:val="28"/>
        </w:rPr>
      </w:pPr>
      <w:r w:rsidDel="00000000" w:rsidR="00000000" w:rsidRPr="00000000">
        <w:rPr>
          <w:b w:val="1"/>
          <w:bCs w:val="1"/>
          <w:color w:val="980000"/>
          <w:sz w:val="28"/>
          <w:szCs w:val="28"/>
          <w:rtl w:val="0"/>
        </w:rPr>
        <w:t xml:space="preserve">Total Sales, Total Profit, Total Orders, Average Profit per Order. These cards summarize the overall business performance at a glance.</w:t>
      </w:r>
    </w:p>
    <w:p w:rsidR="00000000" w:rsidDel="00000000" w:rsidP="00000000" w:rsidRDefault="00000000" w:rsidRPr="00000000" w14:paraId="0000000D">
      <w:pPr>
        <w:spacing w:after="240" w:before="240" w:lineRule="auto"/>
        <w:ind w:left="1440" w:firstLine="0"/>
        <w:rPr>
          <w:b w:val="1"/>
          <w:bCs w:val="1"/>
          <w:color w:val="980000"/>
          <w:sz w:val="28"/>
          <w:szCs w:val="28"/>
        </w:rPr>
      </w:pPr>
      <w:r w:rsidDel="00000000" w:rsidR="00000000" w:rsidRPr="00000000">
        <w:rPr>
          <w:b w:val="1"/>
          <w:bCs w:val="1"/>
          <w:color w:val="980000"/>
          <w:sz w:val="28"/>
          <w:szCs w:val="28"/>
          <w:rtl w:val="0"/>
        </w:rPr>
        <w:br w:type="textWrapping"/>
      </w:r>
      <w:r w:rsidDel="00000000" w:rsidR="00000000" w:rsidRPr="00000000">
        <w:rPr>
          <w:b w:val="1"/>
          <w:bCs w:val="1"/>
          <w:color w:val="980000"/>
          <w:sz w:val="28"/>
          <w:szCs w:val="28"/>
        </w:rPr>
        <w:drawing>
          <wp:inline distB="114300" distT="114300" distL="114300" distR="114300">
            <wp:extent cx="5734050" cy="413231"/>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41323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b w:val="1"/>
          <w:bCs w:val="1"/>
          <w:color w:val="ff00ff"/>
          <w:sz w:val="28"/>
          <w:szCs w:val="28"/>
        </w:rPr>
      </w:pPr>
      <w:r w:rsidDel="00000000" w:rsidR="00000000" w:rsidRPr="00000000">
        <w:rPr>
          <w:rtl w:val="0"/>
        </w:rPr>
      </w:r>
    </w:p>
    <w:p w:rsidR="00000000" w:rsidDel="00000000" w:rsidP="00000000" w:rsidRDefault="00000000" w:rsidRPr="00000000" w14:paraId="0000000F">
      <w:pPr>
        <w:spacing w:after="240" w:before="240" w:lineRule="auto"/>
        <w:rPr>
          <w:b w:val="1"/>
          <w:bCs w:val="1"/>
          <w:color w:val="ff00ff"/>
          <w:sz w:val="28"/>
          <w:szCs w:val="28"/>
        </w:rPr>
      </w:pPr>
      <w:r w:rsidDel="00000000" w:rsidR="00000000" w:rsidRPr="00000000">
        <w:rPr>
          <w:rtl w:val="0"/>
        </w:rPr>
      </w:r>
    </w:p>
    <w:p w:rsidR="00000000" w:rsidDel="00000000" w:rsidP="00000000" w:rsidRDefault="00000000" w:rsidRPr="00000000" w14:paraId="00000010">
      <w:pPr>
        <w:spacing w:after="240" w:before="240" w:lineRule="auto"/>
        <w:rPr>
          <w:b w:val="1"/>
          <w:bCs w:val="1"/>
          <w:color w:val="ff9900"/>
          <w:sz w:val="28"/>
          <w:szCs w:val="28"/>
        </w:rPr>
      </w:pPr>
      <w:r w:rsidDel="00000000" w:rsidR="00000000" w:rsidRPr="00000000">
        <w:rPr>
          <w:b w:val="1"/>
          <w:bCs w:val="1"/>
          <w:color w:val="ff00ff"/>
          <w:sz w:val="28"/>
          <w:szCs w:val="28"/>
          <w:rtl w:val="0"/>
        </w:rPr>
        <w:t xml:space="preserve">Slicers / Filters:</w:t>
      </w:r>
      <w:r w:rsidDel="00000000" w:rsidR="00000000" w:rsidRPr="00000000">
        <w:rPr>
          <w:b w:val="1"/>
          <w:bCs w:val="1"/>
          <w:color w:val="ff9900"/>
          <w:sz w:val="28"/>
          <w:szCs w:val="28"/>
          <w:rtl w:val="0"/>
        </w:rPr>
        <w:br w:type="textWrapping"/>
      </w:r>
    </w:p>
    <w:p w:rsidR="00000000" w:rsidDel="00000000" w:rsidP="00000000" w:rsidRDefault="00000000" w:rsidRPr="00000000" w14:paraId="00000011">
      <w:pPr>
        <w:numPr>
          <w:ilvl w:val="1"/>
          <w:numId w:val="2"/>
        </w:numPr>
        <w:spacing w:after="0" w:afterAutospacing="0" w:before="240" w:lineRule="auto"/>
        <w:ind w:left="1440" w:hanging="360"/>
        <w:rPr>
          <w:b w:val="1"/>
          <w:bCs w:val="1"/>
          <w:color w:val="980000"/>
          <w:sz w:val="28"/>
          <w:szCs w:val="28"/>
        </w:rPr>
      </w:pPr>
      <w:r w:rsidDel="00000000" w:rsidR="00000000" w:rsidRPr="00000000">
        <w:rPr>
          <w:b w:val="1"/>
          <w:bCs w:val="1"/>
          <w:color w:val="980000"/>
          <w:sz w:val="28"/>
          <w:szCs w:val="28"/>
          <w:rtl w:val="0"/>
        </w:rPr>
        <w:t xml:space="preserve">Allow dynamic filtering by Region, Category, and Order Date, so users can focus on specific segments of data and explore trends interactively.</w:t>
      </w:r>
    </w:p>
    <w:p w:rsidR="00000000" w:rsidDel="00000000" w:rsidP="00000000" w:rsidRDefault="00000000" w:rsidRPr="00000000" w14:paraId="00000012">
      <w:pPr>
        <w:numPr>
          <w:ilvl w:val="1"/>
          <w:numId w:val="2"/>
        </w:numPr>
        <w:spacing w:after="0" w:afterAutospacing="0" w:before="0" w:beforeAutospacing="0" w:lineRule="auto"/>
        <w:ind w:left="1440" w:hanging="360"/>
        <w:rPr>
          <w:b w:val="1"/>
          <w:bCs w:val="1"/>
          <w:color w:val="980000"/>
          <w:sz w:val="28"/>
          <w:szCs w:val="28"/>
        </w:rPr>
      </w:pPr>
      <w:r w:rsidDel="00000000" w:rsidR="00000000" w:rsidRPr="00000000">
        <w:rPr>
          <w:rtl w:val="0"/>
        </w:rPr>
      </w:r>
    </w:p>
    <w:p w:rsidR="00000000" w:rsidDel="00000000" w:rsidP="00000000" w:rsidRDefault="00000000" w:rsidRPr="00000000" w14:paraId="00000013">
      <w:pPr>
        <w:numPr>
          <w:ilvl w:val="1"/>
          <w:numId w:val="2"/>
        </w:numPr>
        <w:spacing w:after="0" w:afterAutospacing="0" w:before="0" w:beforeAutospacing="0" w:lineRule="auto"/>
        <w:ind w:left="1440" w:hanging="360"/>
        <w:rPr>
          <w:b w:val="1"/>
          <w:bCs w:val="1"/>
          <w:color w:val="980000"/>
          <w:sz w:val="28"/>
          <w:szCs w:val="28"/>
        </w:rPr>
      </w:pPr>
      <w:r w:rsidDel="00000000" w:rsidR="00000000" w:rsidRPr="00000000">
        <w:rPr>
          <w:rtl w:val="0"/>
        </w:rPr>
      </w:r>
    </w:p>
    <w:p w:rsidR="00000000" w:rsidDel="00000000" w:rsidP="00000000" w:rsidRDefault="00000000" w:rsidRPr="00000000" w14:paraId="00000014">
      <w:pPr>
        <w:numPr>
          <w:ilvl w:val="1"/>
          <w:numId w:val="2"/>
        </w:numPr>
        <w:spacing w:after="240" w:before="0" w:beforeAutospacing="0" w:lineRule="auto"/>
        <w:ind w:left="1440" w:hanging="360"/>
        <w:rPr>
          <w:b w:val="1"/>
          <w:bCs w:val="1"/>
          <w:color w:val="980000"/>
          <w:sz w:val="28"/>
          <w:szCs w:val="28"/>
        </w:rPr>
      </w:pPr>
      <w:r w:rsidDel="00000000" w:rsidR="00000000" w:rsidRPr="00000000">
        <w:rPr>
          <w:b w:val="1"/>
          <w:bCs w:val="1"/>
          <w:color w:val="980000"/>
          <w:sz w:val="28"/>
          <w:szCs w:val="28"/>
        </w:rPr>
        <w:drawing>
          <wp:inline distB="114300" distT="114300" distL="114300" distR="114300">
            <wp:extent cx="1557338" cy="8572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57338" cy="857250"/>
                    </a:xfrm>
                    <a:prstGeom prst="rect"/>
                    <a:ln/>
                  </pic:spPr>
                </pic:pic>
              </a:graphicData>
            </a:graphic>
          </wp:inline>
        </w:drawing>
      </w:r>
      <w:r w:rsidDel="00000000" w:rsidR="00000000" w:rsidRPr="00000000">
        <w:rPr>
          <w:b w:val="1"/>
          <w:bCs w:val="1"/>
          <w:color w:val="980000"/>
          <w:sz w:val="28"/>
          <w:szCs w:val="28"/>
          <w:rtl w:val="0"/>
        </w:rPr>
        <w:t xml:space="preserve"> </w:t>
      </w:r>
      <w:r w:rsidDel="00000000" w:rsidR="00000000" w:rsidRPr="00000000">
        <w:rPr>
          <w:b w:val="1"/>
          <w:bCs w:val="1"/>
          <w:color w:val="980000"/>
          <w:sz w:val="28"/>
          <w:szCs w:val="28"/>
        </w:rPr>
        <w:drawing>
          <wp:inline distB="114300" distT="114300" distL="114300" distR="114300">
            <wp:extent cx="1231732" cy="1558518"/>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31732" cy="1558518"/>
                    </a:xfrm>
                    <a:prstGeom prst="rect"/>
                    <a:ln/>
                  </pic:spPr>
                </pic:pic>
              </a:graphicData>
            </a:graphic>
          </wp:inline>
        </w:drawing>
      </w:r>
      <w:r w:rsidDel="00000000" w:rsidR="00000000" w:rsidRPr="00000000">
        <w:rPr>
          <w:b w:val="1"/>
          <w:bCs w:val="1"/>
          <w:color w:val="980000"/>
          <w:sz w:val="28"/>
          <w:szCs w:val="28"/>
          <w:rtl w:val="0"/>
        </w:rPr>
        <w:t xml:space="preserve"> </w:t>
      </w:r>
      <w:r w:rsidDel="00000000" w:rsidR="00000000" w:rsidRPr="00000000">
        <w:rPr>
          <w:b w:val="1"/>
          <w:bCs w:val="1"/>
          <w:color w:val="980000"/>
          <w:sz w:val="28"/>
          <w:szCs w:val="28"/>
        </w:rPr>
        <w:drawing>
          <wp:inline distB="114300" distT="114300" distL="114300" distR="114300">
            <wp:extent cx="962025" cy="2124075"/>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62025" cy="2124075"/>
                    </a:xfrm>
                    <a:prstGeom prst="rect"/>
                    <a:ln/>
                  </pic:spPr>
                </pic:pic>
              </a:graphicData>
            </a:graphic>
          </wp:inline>
        </w:drawing>
      </w:r>
      <w:r w:rsidDel="00000000" w:rsidR="00000000" w:rsidRPr="00000000">
        <w:rPr>
          <w:b w:val="1"/>
          <w:bCs w:val="1"/>
          <w:color w:val="980000"/>
          <w:sz w:val="28"/>
          <w:szCs w:val="28"/>
          <w:rtl w:val="0"/>
        </w:rPr>
        <w:br w:type="textWrapping"/>
      </w:r>
    </w:p>
    <w:p w:rsidR="00000000" w:rsidDel="00000000" w:rsidP="00000000" w:rsidRDefault="00000000" w:rsidRPr="00000000" w14:paraId="00000015">
      <w:pPr>
        <w:spacing w:after="240" w:before="240" w:lineRule="auto"/>
        <w:rPr>
          <w:b w:val="1"/>
          <w:bCs w:val="1"/>
          <w:color w:val="ff00ff"/>
          <w:sz w:val="28"/>
          <w:szCs w:val="28"/>
        </w:rPr>
      </w:pPr>
      <w:r w:rsidDel="00000000" w:rsidR="00000000" w:rsidRPr="00000000">
        <w:rPr>
          <w:rtl w:val="0"/>
        </w:rPr>
      </w:r>
    </w:p>
    <w:p w:rsidR="00000000" w:rsidDel="00000000" w:rsidP="00000000" w:rsidRDefault="00000000" w:rsidRPr="00000000" w14:paraId="00000016">
      <w:pPr>
        <w:spacing w:after="240" w:before="240" w:lineRule="auto"/>
        <w:rPr>
          <w:b w:val="1"/>
          <w:bCs w:val="1"/>
          <w:color w:val="ff00ff"/>
          <w:sz w:val="28"/>
          <w:szCs w:val="28"/>
        </w:rPr>
      </w:pPr>
      <w:r w:rsidDel="00000000" w:rsidR="00000000" w:rsidRPr="00000000">
        <w:rPr>
          <w:b w:val="1"/>
          <w:bCs w:val="1"/>
          <w:color w:val="ff00ff"/>
          <w:sz w:val="28"/>
          <w:szCs w:val="28"/>
          <w:rtl w:val="0"/>
        </w:rPr>
        <w:t xml:space="preserve">Purpose and Insights:</w:t>
      </w:r>
    </w:p>
    <w:p w:rsidR="00000000" w:rsidDel="00000000" w:rsidP="00000000" w:rsidRDefault="00000000" w:rsidRPr="00000000" w14:paraId="00000017">
      <w:pPr>
        <w:spacing w:after="240" w:before="240" w:lineRule="auto"/>
        <w:rPr>
          <w:b w:val="1"/>
          <w:bCs w:val="1"/>
          <w:color w:val="ff00ff"/>
          <w:sz w:val="28"/>
          <w:szCs w:val="28"/>
        </w:rPr>
      </w:pP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Rule="auto"/>
        <w:ind w:left="720" w:hanging="360"/>
        <w:rPr>
          <w:b w:val="1"/>
          <w:bCs w:val="1"/>
          <w:color w:val="980000"/>
          <w:sz w:val="28"/>
          <w:szCs w:val="28"/>
        </w:rPr>
      </w:pPr>
      <w:r w:rsidDel="00000000" w:rsidR="00000000" w:rsidRPr="00000000">
        <w:rPr>
          <w:b w:val="1"/>
          <w:bCs w:val="1"/>
          <w:color w:val="980000"/>
          <w:sz w:val="28"/>
          <w:szCs w:val="28"/>
          <w:rtl w:val="0"/>
        </w:rPr>
        <w:t xml:space="preserve">The dashboard provides a single view of critical business metrics.</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rPr>
          <w:b w:val="1"/>
          <w:bCs w:val="1"/>
          <w:color w:val="980000"/>
          <w:sz w:val="28"/>
          <w:szCs w:val="28"/>
        </w:rPr>
      </w:pPr>
      <w:r w:rsidDel="00000000" w:rsidR="00000000" w:rsidRPr="00000000">
        <w:rPr>
          <w:b w:val="1"/>
          <w:bCs w:val="1"/>
          <w:color w:val="980000"/>
          <w:sz w:val="28"/>
          <w:szCs w:val="28"/>
          <w:rtl w:val="0"/>
        </w:rPr>
        <w:t xml:space="preserve">It allows decision-makers to quickly spot trends, compare categories or regions, and detect anomalies.</w:t>
        <w:br w:type="textWrapping"/>
      </w:r>
    </w:p>
    <w:p w:rsidR="00000000" w:rsidDel="00000000" w:rsidP="00000000" w:rsidRDefault="00000000" w:rsidRPr="00000000" w14:paraId="0000001A">
      <w:pPr>
        <w:numPr>
          <w:ilvl w:val="0"/>
          <w:numId w:val="1"/>
        </w:numPr>
        <w:spacing w:after="240" w:before="0" w:beforeAutospacing="0" w:lineRule="auto"/>
        <w:ind w:left="720" w:hanging="360"/>
        <w:rPr>
          <w:b w:val="1"/>
          <w:bCs w:val="1"/>
          <w:color w:val="980000"/>
          <w:sz w:val="28"/>
          <w:szCs w:val="28"/>
        </w:rPr>
      </w:pPr>
      <w:r w:rsidDel="00000000" w:rsidR="00000000" w:rsidRPr="00000000">
        <w:rPr>
          <w:b w:val="1"/>
          <w:bCs w:val="1"/>
          <w:color w:val="980000"/>
          <w:sz w:val="28"/>
          <w:szCs w:val="28"/>
          <w:rtl w:val="0"/>
        </w:rPr>
        <w:t xml:space="preserve">By combining charts, KPIs, and filters, it makes the data actionable and easy to interpret.</w:t>
      </w:r>
    </w:p>
    <w:p w:rsidR="00000000" w:rsidDel="00000000" w:rsidP="00000000" w:rsidRDefault="00000000" w:rsidRPr="00000000" w14:paraId="0000001B">
      <w:pPr>
        <w:spacing w:after="240" w:before="240" w:lineRule="auto"/>
        <w:ind w:left="720" w:firstLine="0"/>
        <w:rPr>
          <w:b w:val="1"/>
          <w:bCs w:val="1"/>
          <w:color w:val="980000"/>
          <w:sz w:val="28"/>
          <w:szCs w:val="28"/>
        </w:rPr>
      </w:pPr>
      <w:r w:rsidDel="00000000" w:rsidR="00000000" w:rsidRPr="00000000">
        <w:rPr>
          <w:rtl w:val="0"/>
        </w:rPr>
      </w:r>
    </w:p>
    <w:p w:rsidR="00000000" w:rsidDel="00000000" w:rsidP="00000000" w:rsidRDefault="00000000" w:rsidRPr="00000000" w14:paraId="0000001C">
      <w:pPr>
        <w:spacing w:after="240" w:before="240" w:lineRule="auto"/>
        <w:ind w:left="720" w:firstLine="0"/>
        <w:rPr>
          <w:b w:val="1"/>
          <w:bCs w:val="1"/>
          <w:color w:val="ff00ff"/>
          <w:sz w:val="20"/>
          <w:szCs w:val="20"/>
        </w:rPr>
      </w:pPr>
      <w:r w:rsidDel="00000000" w:rsidR="00000000" w:rsidRPr="00000000">
        <w:rPr>
          <w:rtl w:val="0"/>
        </w:rPr>
      </w:r>
    </w:p>
    <w:p w:rsidR="00000000" w:rsidDel="00000000" w:rsidP="00000000" w:rsidRDefault="00000000" w:rsidRPr="00000000" w14:paraId="0000001D">
      <w:pPr>
        <w:spacing w:after="240" w:before="240" w:lineRule="auto"/>
        <w:ind w:left="720" w:firstLine="0"/>
        <w:rPr>
          <w:b w:val="1"/>
          <w:bCs w:val="1"/>
          <w:color w:val="ff00ff"/>
          <w:sz w:val="20"/>
          <w:szCs w:val="20"/>
        </w:rPr>
      </w:pPr>
      <w:r w:rsidDel="00000000" w:rsidR="00000000" w:rsidRPr="00000000">
        <w:rPr>
          <w:rtl w:val="0"/>
        </w:rPr>
      </w:r>
    </w:p>
    <w:p w:rsidR="00000000" w:rsidDel="00000000" w:rsidP="00000000" w:rsidRDefault="00000000" w:rsidRPr="00000000" w14:paraId="0000001E">
      <w:pPr>
        <w:spacing w:after="240" w:before="240" w:lineRule="auto"/>
        <w:ind w:left="0" w:firstLine="0"/>
        <w:rPr>
          <w:b w:val="1"/>
          <w:bCs w:val="1"/>
          <w:color w:val="ff00ff"/>
          <w:sz w:val="20"/>
          <w:szCs w:val="20"/>
        </w:rPr>
      </w:pPr>
      <w:r w:rsidDel="00000000" w:rsidR="00000000" w:rsidRPr="00000000">
        <w:rPr>
          <w:rtl w:val="0"/>
        </w:rPr>
      </w:r>
    </w:p>
    <w:p w:rsidR="00000000" w:rsidDel="00000000" w:rsidP="00000000" w:rsidRDefault="00000000" w:rsidRPr="00000000" w14:paraId="0000001F">
      <w:pPr>
        <w:spacing w:after="240" w:before="240" w:lineRule="auto"/>
        <w:ind w:left="0" w:firstLine="0"/>
        <w:rPr>
          <w:b w:val="1"/>
          <w:bCs w:val="1"/>
          <w:color w:val="ff00ff"/>
          <w:sz w:val="32"/>
          <w:szCs w:val="32"/>
        </w:rPr>
      </w:pPr>
      <w:r w:rsidDel="00000000" w:rsidR="00000000" w:rsidRPr="00000000">
        <w:rPr>
          <w:b w:val="1"/>
          <w:bCs w:val="1"/>
          <w:color w:val="ff00ff"/>
          <w:sz w:val="32"/>
          <w:szCs w:val="32"/>
          <w:rtl w:val="0"/>
        </w:rPr>
        <w:t xml:space="preserve">OVERALL DASHBOARD:</w:t>
      </w:r>
    </w:p>
    <w:p w:rsidR="00000000" w:rsidDel="00000000" w:rsidP="00000000" w:rsidRDefault="00000000" w:rsidRPr="00000000" w14:paraId="00000020">
      <w:pPr>
        <w:spacing w:after="240" w:before="240" w:lineRule="auto"/>
        <w:rPr>
          <w:b w:val="1"/>
          <w:bCs w:val="1"/>
          <w:color w:val="980000"/>
          <w:sz w:val="28"/>
          <w:szCs w:val="28"/>
        </w:rPr>
      </w:pPr>
      <w:r w:rsidDel="00000000" w:rsidR="00000000" w:rsidRPr="00000000">
        <w:rPr>
          <w:rtl w:val="0"/>
        </w:rPr>
      </w:r>
    </w:p>
    <w:p w:rsidR="00000000" w:rsidDel="00000000" w:rsidP="00000000" w:rsidRDefault="00000000" w:rsidRPr="00000000" w14:paraId="00000021">
      <w:pPr>
        <w:numPr>
          <w:ilvl w:val="1"/>
          <w:numId w:val="2"/>
        </w:numPr>
        <w:spacing w:after="240" w:before="240" w:lineRule="auto"/>
        <w:ind w:left="1440" w:hanging="360"/>
        <w:rPr>
          <w:b w:val="1"/>
          <w:bCs w:val="1"/>
          <w:color w:val="980000"/>
          <w:sz w:val="28"/>
          <w:szCs w:val="28"/>
        </w:rPr>
      </w:pPr>
      <w:r w:rsidDel="00000000" w:rsidR="00000000" w:rsidRPr="00000000">
        <w:rPr>
          <w:rtl w:val="0"/>
        </w:rPr>
      </w:r>
    </w:p>
    <w:p w:rsidR="00000000" w:rsidDel="00000000" w:rsidP="00000000" w:rsidRDefault="00000000" w:rsidRPr="00000000" w14:paraId="00000022">
      <w:pPr>
        <w:rPr>
          <w:b w:val="1"/>
          <w:bCs w:val="1"/>
          <w:color w:val="ff9900"/>
          <w:sz w:val="28"/>
          <w:szCs w:val="28"/>
        </w:rPr>
      </w:pPr>
      <w:r w:rsidDel="00000000" w:rsidR="00000000" w:rsidRPr="00000000">
        <w:rPr>
          <w:b w:val="1"/>
          <w:bCs w:val="1"/>
          <w:color w:val="ff9900"/>
          <w:sz w:val="28"/>
          <w:szCs w:val="28"/>
        </w:rPr>
        <w:drawing>
          <wp:inline distB="114300" distT="114300" distL="114300" distR="114300">
            <wp:extent cx="5731200" cy="32131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ff00ff"/>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