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300"/>
        <w:jc w:val="center"/>
      </w:pPr>
      <w:r>
        <w:rPr>
          <w:rFonts w:ascii="Plus Jakarta Sans" w:cs="Plus Jakarta Sans" w:eastAsia="Plus Jakarta Sans" w:hAnsi="Plus Jakarta Sans"/>
          <w:b/>
          <w:bCs/>
          <w:color w:val="0C5A36"/>
          <w:sz w:val="48"/>
          <w:szCs w:val="48"/>
        </w:rPr>
        <w:t xml:space="preserve">AgriNex (UGAMFRESH)</w:t>
      </w:r>
    </w:p>
    <w:p>
      <w:pPr>
        <w:spacing w:after="150" w:before="50"/>
        <w:jc w:val="center"/>
      </w:pPr>
      <w:r>
        <w:rPr>
          <w:rFonts w:ascii="Plus Jakarta Sans" w:cs="Plus Jakarta Sans" w:eastAsia="Plus Jakarta Sans" w:hAnsi="Plus Jakarta Sans"/>
          <w:i/>
          <w:iCs/>
          <w:color w:val="D97706"/>
          <w:sz w:val="24"/>
          <w:szCs w:val="24"/>
        </w:rPr>
        <w:t xml:space="preserve">Direct-Trade Agricultural Ecosystem, Cold-Chain Telematics &amp; AI Market Intelligence</w:t>
      </w:r>
    </w:p>
    <w:p>
      <w:pPr>
        <w:spacing w:after="300" w:before="50"/>
        <w:jc w:val="center"/>
      </w:pPr>
      <w:r>
        <w:rPr>
          <w:rFonts w:ascii="Plus Jakarta Sans" w:cs="Plus Jakarta Sans" w:eastAsia="Plus Jakarta Sans" w:hAnsi="Plus Jakarta Sans"/>
          <w:color w:val="64748B"/>
          <w:sz w:val="18"/>
          <w:szCs w:val="18"/>
        </w:rPr>
        <w:t xml:space="preserve">Comprehensive Project Architecture, AI/ML Models &amp; Review Master Document | Version 2.5</w:t>
      </w:r>
    </w:p>
    <w:p>
      <w:pPr>
        <w:pStyle w:val="Heading1"/>
        <w:spacing w:after="160" w:before="360"/>
      </w:pPr>
      <w:r>
        <w:rPr>
          <w:rFonts w:ascii="Plus Jakarta Sans" w:cs="Plus Jakarta Sans" w:eastAsia="Plus Jakarta Sans" w:hAnsi="Plus Jakarta Sans"/>
          <w:b/>
          <w:bCs/>
          <w:color w:val="0C5A36"/>
          <w:sz w:val="32"/>
          <w:szCs w:val="32"/>
        </w:rPr>
        <w:t xml:space="preserve">1. Executive Summary &amp; Problem Statement</w:t>
      </w:r>
    </w:p>
    <w:p>
      <w:pPr>
        <w:spacing w:after="100" w:before="10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AgriNex is an institutional-grade B2B Agricultural Supply Chain, Direct-Trade Marketplace, and Smart Escrow Governance Platform built to modernize Indian agricultural trade, eliminate predatory intermediaries, uphold fair APMC mandi prices, and ensure end-to-end cold-chain transit integrity.</w:t>
      </w:r>
    </w:p>
    <w:p>
      <w:pPr>
        <w:pStyle w:val="Heading2"/>
        <w:spacing w:after="120" w:before="260"/>
      </w:pPr>
      <w:r>
        <w:rPr>
          <w:rFonts w:ascii="Plus Jakarta Sans" w:cs="Plus Jakarta Sans" w:eastAsia="Plus Jakarta Sans" w:hAnsi="Plus Jakarta Sans"/>
          <w:b/>
          <w:bCs/>
          <w:color w:val="166534"/>
          <w:sz w:val="26"/>
          <w:szCs w:val="26"/>
        </w:rPr>
        <w:t xml:space="preserve">Real-World Agricultural Crises Solved:</w:t>
      </w:r>
    </w:p>
    <w:p>
      <w:pPr>
        <w:spacing w:after="60" w:before="60" w:line="276"/>
        <w:jc w:val="left"/>
      </w:pPr>
      <w:r>
        <w:rPr>
          <w:rFonts w:ascii="Plus Jakarta Sans" w:cs="Plus Jakarta Sans" w:eastAsia="Plus Jakarta Sans" w:hAnsi="Plus Jakarta Sans"/>
          <w:b/>
          <w:bCs/>
          <w:i w:val="false"/>
          <w:iCs w:val="false"/>
          <w:color w:val="0C5A36"/>
          <w:sz w:val="22"/>
          <w:szCs w:val="22"/>
        </w:rPr>
        <w:t xml:space="preserve">• Middleman Monopolies &amp; Unfair Farm-Gate Margins: </w:t>
      </w: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2"/>
          <w:szCs w:val="22"/>
        </w:rPr>
        <w:t xml:space="preserve">Cultivators traditionally receive a fraction of retail produce value due to opaque commission agents (Adtiyas) and non-transparent APMC cartel bidding.</w:t>
      </w:r>
    </w:p>
    <w:p>
      <w:pPr>
        <w:spacing w:after="60" w:before="60" w:line="276"/>
        <w:jc w:val="left"/>
      </w:pPr>
      <w:r>
        <w:rPr>
          <w:rFonts w:ascii="Plus Jakarta Sans" w:cs="Plus Jakarta Sans" w:eastAsia="Plus Jakarta Sans" w:hAnsi="Plus Jakarta Sans"/>
          <w:b/>
          <w:bCs/>
          <w:i w:val="false"/>
          <w:iCs w:val="false"/>
          <w:color w:val="0C5A36"/>
          <w:sz w:val="22"/>
          <w:szCs w:val="22"/>
        </w:rPr>
        <w:t xml:space="preserve">• Payment Defaults &amp; Escrow Trust Deficit: </w:t>
      </w: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2"/>
          <w:szCs w:val="22"/>
        </w:rPr>
        <w:t xml:space="preserve">Farmers fear delayed settlements; corporate buyers fear substandard quality, water-loss fraud, or non-delivery.</w:t>
      </w:r>
    </w:p>
    <w:p>
      <w:pPr>
        <w:spacing w:after="60" w:before="60" w:line="276"/>
        <w:jc w:val="left"/>
      </w:pPr>
      <w:r>
        <w:rPr>
          <w:rFonts w:ascii="Plus Jakarta Sans" w:cs="Plus Jakarta Sans" w:eastAsia="Plus Jakarta Sans" w:hAnsi="Plus Jakarta Sans"/>
          <w:b/>
          <w:bCs/>
          <w:i w:val="false"/>
          <w:iCs w:val="false"/>
          <w:color w:val="0C5A36"/>
          <w:sz w:val="22"/>
          <w:szCs w:val="22"/>
        </w:rPr>
        <w:t xml:space="preserve">• Perishable Cold-Chain Post-Harvest Decay: </w:t>
      </w: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2"/>
          <w:szCs w:val="22"/>
        </w:rPr>
        <w:t xml:space="preserve">High post-harvest losses in perishables (tomatoes, mangoes, onions) occur during transit due to lack of real-time temperature and GPS telematics accountability.</w:t>
      </w:r>
    </w:p>
    <w:p>
      <w:pPr>
        <w:spacing w:after="60" w:before="60" w:line="276"/>
        <w:jc w:val="left"/>
      </w:pPr>
      <w:r>
        <w:rPr>
          <w:rFonts w:ascii="Plus Jakarta Sans" w:cs="Plus Jakarta Sans" w:eastAsia="Plus Jakarta Sans" w:hAnsi="Plus Jakarta Sans"/>
          <w:b/>
          <w:bCs/>
          <w:i w:val="false"/>
          <w:iCs w:val="false"/>
          <w:color w:val="0C5A36"/>
          <w:sz w:val="22"/>
          <w:szCs w:val="22"/>
        </w:rPr>
        <w:t xml:space="preserve">• Dispute Resolution Inefficiencies: </w:t>
      </w: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2"/>
          <w:szCs w:val="22"/>
        </w:rPr>
        <w:t xml:space="preserve">Weighbridge discrepancies, transit moisture evaporation, and quality rejections take weeks of bureaucratic arbitration to settle.</w:t>
      </w:r>
    </w:p>
    <w:p>
      <w:pPr>
        <w:pStyle w:val="Heading1"/>
        <w:spacing w:after="160" w:before="360"/>
      </w:pPr>
      <w:r>
        <w:rPr>
          <w:rFonts w:ascii="Plus Jakarta Sans" w:cs="Plus Jakarta Sans" w:eastAsia="Plus Jakarta Sans" w:hAnsi="Plus Jakarta Sans"/>
          <w:b/>
          <w:bCs/>
          <w:color w:val="0C5A36"/>
          <w:sz w:val="32"/>
          <w:szCs w:val="32"/>
        </w:rPr>
        <w:t xml:space="preserve">2. Multi-Stakeholder Architecture</w:t>
      </w:r>
    </w:p>
    <w:p>
      <w:pPr>
        <w:spacing w:after="100" w:before="10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The platform is structured into four specialized stakeholder modules with synchronized zero-trust role-based access control (RBAC):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0C5A3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000"/>
            <w:shd w:fill="0C5A3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Target User</w:t>
            </w:r>
          </w:p>
        </w:tc>
        <w:tc>
          <w:tcPr>
            <w:tcW w:type="dxa" w:w="3200"/>
            <w:shd w:fill="0C5A3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Core Capabilities</w:t>
            </w:r>
          </w:p>
        </w:tc>
        <w:tc>
          <w:tcPr>
            <w:tcW w:type="dxa" w:w="2600"/>
            <w:shd w:fill="0C5A3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Key Technology / File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9"/>
                <w:szCs w:val="19"/>
              </w:rPr>
              <w:t xml:space="preserve">🌾 Farmer &amp; FPO Module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F172A"/>
                <w:sz w:val="19"/>
                <w:szCs w:val="19"/>
              </w:rPr>
              <w:t xml:space="preserve">Individual Cultivators &amp; FPO Leads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F172A"/>
                <w:sz w:val="19"/>
                <w:szCs w:val="19"/>
              </w:rPr>
              <w:t xml:space="preserve">Live Mandi benchmark rates, crop listing, collective pooling, 35/65 escrow payouts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F172A"/>
                <w:sz w:val="19"/>
                <w:szCs w:val="19"/>
              </w:rPr>
              <w:t xml:space="preserve">farmer-module/ (HTML5, Sparkline SVG, i18n)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9"/>
                <w:szCs w:val="19"/>
              </w:rPr>
              <w:t xml:space="preserve">🏢 Buyer Module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F172A"/>
                <w:sz w:val="19"/>
                <w:szCs w:val="19"/>
              </w:rPr>
              <w:t xml:space="preserve">Food Mills, Retail Chains, Exporters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F172A"/>
                <w:sz w:val="19"/>
                <w:szCs w:val="19"/>
              </w:rPr>
              <w:t xml:space="preserve">Bulk procurement demand broadcasting, interactive counter-bidding, weighbridge inspection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F172A"/>
                <w:sz w:val="19"/>
                <w:szCs w:val="19"/>
              </w:rPr>
              <w:t xml:space="preserve">buyer-module/ (REST API, TCO Calculator, Tolerance Engine)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9"/>
                <w:szCs w:val="19"/>
              </w:rPr>
              <w:t xml:space="preserve">🚚 Logistics &amp; Fleet Module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F172A"/>
                <w:sz w:val="19"/>
                <w:szCs w:val="19"/>
              </w:rPr>
              <w:t xml:space="preserve">Reefer Truck Fleets &amp; Dispatchers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F172A"/>
                <w:sz w:val="19"/>
                <w:szCs w:val="19"/>
              </w:rPr>
              <w:t xml:space="preserve">Real-time IoT cold-chain temperature &amp; GPS SSE streams, Haversine route optimizer, digital POD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F172A"/>
                <w:sz w:val="19"/>
                <w:szCs w:val="19"/>
              </w:rPr>
              <w:t xml:space="preserve">logistics-module/ (Server-Sent Events, Leaflet GIS, Canvas POD)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9"/>
                <w:szCs w:val="19"/>
              </w:rPr>
              <w:t xml:space="preserve">🛡️ Admin &amp; Governance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F172A"/>
                <w:sz w:val="19"/>
                <w:szCs w:val="19"/>
              </w:rPr>
              <w:t xml:space="preserve">APMC Regulators &amp; Escrow Custodians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F172A"/>
                <w:sz w:val="19"/>
                <w:szCs w:val="19"/>
              </w:rPr>
              <w:t xml:space="preserve">Dual-key escrow releases, MSP floor price enforcement, dispute arbitration tribunal, KYC audits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F172A"/>
                <w:sz w:val="19"/>
                <w:szCs w:val="19"/>
              </w:rPr>
              <w:t xml:space="preserve">admin-module/ (RBAC Security Guard, Admin API)</w:t>
            </w:r>
          </w:p>
        </w:tc>
      </w:tr>
    </w:tbl>
    <w:p>
      <w:pPr>
        <w:pStyle w:val="Heading1"/>
        <w:spacing w:after="160" w:before="360"/>
      </w:pPr>
      <w:r>
        <w:rPr>
          <w:rFonts w:ascii="Plus Jakarta Sans" w:cs="Plus Jakarta Sans" w:eastAsia="Plus Jakarta Sans" w:hAnsi="Plus Jakarta Sans"/>
          <w:b/>
          <w:bCs/>
          <w:color w:val="0C5A36"/>
          <w:sz w:val="32"/>
          <w:szCs w:val="32"/>
        </w:rPr>
        <w:t xml:space="preserve">3. Dedicated AI &amp; Machine Learning Engine (ai_ml_engine/)</w:t>
      </w:r>
    </w:p>
    <w:p>
      <w:pPr>
        <w:spacing w:after="100" w:before="10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AgriNex features a dedicated AI/ML engine that continuously processes live market records from official data.gov.in Agmarknet and e-NAM feeds. It executes four specialized predictive and optimization models:</w:t>
      </w:r>
    </w:p>
    <w:p>
      <w:pPr>
        <w:pStyle w:val="Heading2"/>
        <w:spacing w:after="120" w:before="260"/>
      </w:pPr>
      <w:r>
        <w:rPr>
          <w:rFonts w:ascii="Plus Jakarta Sans" w:cs="Plus Jakarta Sans" w:eastAsia="Plus Jakarta Sans" w:hAnsi="Plus Jakarta Sans"/>
          <w:b/>
          <w:bCs/>
          <w:color w:val="0C5A36"/>
          <w:sz w:val="26"/>
          <w:szCs w:val="26"/>
        </w:rPr>
        <w:t xml:space="preserve">Model 1: 7-Day Time-Series Price Forecasting Model (forecast_model.py)</w:t>
      </w:r>
    </w:p>
    <w:p>
      <w:pPr>
        <w:spacing w:after="100" w:before="10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2"/>
          <w:szCs w:val="22"/>
        </w:rPr>
        <w:t xml:space="preserve">Predicts forward-looking 7-day daily modal prices for agricultural commodities across Indian mandis with statistical confidence intervals.</w:t>
      </w:r>
    </w:p>
    <w:p>
      <w:pPr>
        <w:spacing w:after="60" w:before="60" w:line="276"/>
        <w:jc w:val="left"/>
      </w:pPr>
      <w:r>
        <w:rPr>
          <w:rFonts w:ascii="Plus Jakarta Sans" w:cs="Plus Jakarta Sans" w:eastAsia="Plus Jakarta Sans" w:hAnsi="Plus Jakarta Sans"/>
          <w:b/>
          <w:bCs/>
          <w:i w:val="false"/>
          <w:iCs w:val="false"/>
          <w:color w:val="0C5A36"/>
          <w:sz w:val="22"/>
          <w:szCs w:val="22"/>
        </w:rPr>
        <w:t xml:space="preserve">• Core Algorithm: </w:t>
      </w: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2"/>
          <w:szCs w:val="22"/>
        </w:rPr>
        <w:t xml:space="preserve">Blended Double Exponential Moving Average (EMA, alpha=0.35-0.40) and Least-Squares Polynomial Linear Trend.</w:t>
      </w:r>
    </w:p>
    <w:p>
      <w:pPr>
        <w:spacing w:after="60" w:before="60" w:line="276"/>
        <w:jc w:val="left"/>
      </w:pPr>
      <w:r>
        <w:rPr>
          <w:rFonts w:ascii="Plus Jakarta Sans" w:cs="Plus Jakarta Sans" w:eastAsia="Plus Jakarta Sans" w:hAnsi="Plus Jakarta Sans"/>
          <w:b/>
          <w:bCs/>
          <w:i w:val="false"/>
          <w:iCs w:val="false"/>
          <w:color w:val="0C5A36"/>
          <w:sz w:val="22"/>
          <w:szCs w:val="22"/>
        </w:rPr>
        <w:t xml:space="preserve">• Linear Momentum Slope Formula: </w:t>
      </w: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2"/>
          <w:szCs w:val="22"/>
        </w:rPr>
        <w:t xml:space="preserve">Slope m = [N·Σ(xy) - Σx·Σy] / [N·Σ(x²) - (Σx)²], Intercept c = [Σy - m·Σx] / N</w:t>
      </w:r>
    </w:p>
    <w:p>
      <w:pPr>
        <w:spacing w:after="60" w:before="60" w:line="276"/>
        <w:jc w:val="left"/>
      </w:pPr>
      <w:r>
        <w:rPr>
          <w:rFonts w:ascii="Plus Jakarta Sans" w:cs="Plus Jakarta Sans" w:eastAsia="Plus Jakarta Sans" w:hAnsi="Plus Jakarta Sans"/>
          <w:b/>
          <w:bCs/>
          <w:i w:val="false"/>
          <w:iCs w:val="false"/>
          <w:color w:val="0C5A36"/>
          <w:sz w:val="22"/>
          <w:szCs w:val="22"/>
        </w:rPr>
        <w:t xml:space="preserve">• Confidence Interval Bands: </w:t>
      </w: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2"/>
          <w:szCs w:val="22"/>
        </w:rPr>
        <w:t xml:space="preserve">Calculates 95% statistical confidence bounds using SE = 1.96 · σ · sqrt(day / 2.0).</w:t>
      </w:r>
    </w:p>
    <w:p>
      <w:pPr>
        <w:spacing w:after="60" w:before="60" w:line="276"/>
        <w:jc w:val="left"/>
      </w:pPr>
      <w:r>
        <w:rPr>
          <w:rFonts w:ascii="Plus Jakarta Sans" w:cs="Plus Jakarta Sans" w:eastAsia="Plus Jakarta Sans" w:hAnsi="Plus Jakarta Sans"/>
          <w:b/>
          <w:bCs/>
          <w:i w:val="false"/>
          <w:iCs w:val="false"/>
          <w:color w:val="0C5A36"/>
          <w:sz w:val="22"/>
          <w:szCs w:val="22"/>
        </w:rPr>
        <w:t xml:space="preserve">• Market Signals: </w:t>
      </w: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2"/>
          <w:szCs w:val="22"/>
        </w:rPr>
        <w:t xml:space="preserve">Emits BULLISH (expected gain &gt;= +3%), BEARISH (expected drop &lt;= -3%), or NEUTRAL signals based on projected percentage movement and R² confidence (75% to 98%).</w:t>
      </w:r>
    </w:p>
    <w:p>
      <w:pPr>
        <w:pStyle w:val="Heading2"/>
        <w:spacing w:after="120" w:before="260"/>
      </w:pPr>
      <w:r>
        <w:rPr>
          <w:rFonts w:ascii="Plus Jakarta Sans" w:cs="Plus Jakarta Sans" w:eastAsia="Plus Jakarta Sans" w:hAnsi="Plus Jakarta Sans"/>
          <w:b/>
          <w:bCs/>
          <w:color w:val="0369A1"/>
          <w:sz w:val="26"/>
          <w:szCs w:val="26"/>
        </w:rPr>
        <w:t xml:space="preserve">Model 2: Inter-APMC Spatial Arbitrage Optimizer (arbitrage_model.py)</w:t>
      </w:r>
    </w:p>
    <w:p>
      <w:pPr>
        <w:spacing w:after="100" w:before="10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2"/>
          <w:szCs w:val="22"/>
        </w:rPr>
        <w:t xml:space="preserve">Identifies spatial price differentials across regional APMC terminals minus freight logistics costs to uncover net profit opportunities for farmers and FPOs.</w:t>
      </w:r>
    </w:p>
    <w:p>
      <w:pPr>
        <w:spacing w:after="60" w:before="60" w:line="276"/>
        <w:jc w:val="left"/>
      </w:pPr>
      <w:r>
        <w:rPr>
          <w:rFonts w:ascii="Plus Jakarta Sans" w:cs="Plus Jakarta Sans" w:eastAsia="Plus Jakarta Sans" w:hAnsi="Plus Jakarta Sans"/>
          <w:b/>
          <w:bCs/>
          <w:i w:val="false"/>
          <w:iCs w:val="false"/>
          <w:color w:val="0C5A36"/>
          <w:sz w:val="22"/>
          <w:szCs w:val="22"/>
        </w:rPr>
        <w:t xml:space="preserve">• Arbitrage Formula: </w:t>
      </w: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2"/>
          <w:szCs w:val="22"/>
        </w:rPr>
        <w:t xml:space="preserve">Gross Spread = (Target Mandi Price - Local Mandi Price); Net Gain (₹/Qt) = Gross Spread - Freight Cost per Quintal.</w:t>
      </w:r>
    </w:p>
    <w:p>
      <w:pPr>
        <w:spacing w:after="60" w:before="60" w:line="276"/>
        <w:jc w:val="left"/>
      </w:pPr>
      <w:r>
        <w:rPr>
          <w:rFonts w:ascii="Plus Jakarta Sans" w:cs="Plus Jakarta Sans" w:eastAsia="Plus Jakarta Sans" w:hAnsi="Plus Jakarta Sans"/>
          <w:b/>
          <w:bCs/>
          <w:i w:val="false"/>
          <w:iCs w:val="false"/>
          <w:color w:val="0C5A36"/>
          <w:sz w:val="22"/>
          <w:szCs w:val="22"/>
        </w:rPr>
        <w:t xml:space="preserve">• Real-World Example: </w:t>
      </w: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Turmeric at Erode Mandi (₹14,100/Qt) vs. Sangli APMC (₹14,600/Qt) with ₹180/Qt freight gives a net gain of +₹320/Quintal (+2.3% ROI boost).</w:t>
      </w:r>
    </w:p>
    <w:p>
      <w:pPr>
        <w:spacing w:after="60" w:before="60" w:line="276"/>
        <w:jc w:val="left"/>
      </w:pPr>
      <w:r>
        <w:rPr>
          <w:rFonts w:ascii="Plus Jakarta Sans" w:cs="Plus Jakarta Sans" w:eastAsia="Plus Jakarta Sans" w:hAnsi="Plus Jakarta Sans"/>
          <w:b/>
          <w:bCs/>
          <w:i w:val="false"/>
          <w:iCs w:val="false"/>
          <w:color w:val="0C5A36"/>
          <w:sz w:val="22"/>
          <w:szCs w:val="22"/>
        </w:rPr>
        <w:t xml:space="preserve">• Sorting &amp; Viability: </w:t>
      </w: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2"/>
          <w:szCs w:val="22"/>
        </w:rPr>
        <w:t xml:space="preserve">Sorts target hubs by descending net gain and generates actionable shipping recommendations.</w:t>
      </w:r>
    </w:p>
    <w:p>
      <w:pPr>
        <w:pStyle w:val="Heading2"/>
        <w:spacing w:after="120" w:before="260"/>
      </w:pPr>
      <w:r>
        <w:rPr>
          <w:rFonts w:ascii="Plus Jakarta Sans" w:cs="Plus Jakarta Sans" w:eastAsia="Plus Jakarta Sans" w:hAnsi="Plus Jakarta Sans"/>
          <w:b/>
          <w:bCs/>
          <w:color w:val="6B21A8"/>
          <w:sz w:val="26"/>
          <w:szCs w:val="26"/>
        </w:rPr>
        <w:t xml:space="preserve">Model 3: Supply-Demand Price Elasticity Model (elasticity_model.py)</w:t>
      </w:r>
    </w:p>
    <w:p>
      <w:pPr>
        <w:spacing w:after="100" w:before="10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2"/>
          <w:szCs w:val="22"/>
        </w:rPr>
        <w:t xml:space="preserve">Measures the price sensitivity of commodities against incoming arrival volumes (supply shocks) to diagnose market conditions.</w:t>
      </w:r>
    </w:p>
    <w:p>
      <w:pPr>
        <w:spacing w:after="60" w:before="60" w:line="276"/>
        <w:jc w:val="left"/>
      </w:pPr>
      <w:r>
        <w:rPr>
          <w:rFonts w:ascii="Plus Jakarta Sans" w:cs="Plus Jakarta Sans" w:eastAsia="Plus Jakarta Sans" w:hAnsi="Plus Jakarta Sans"/>
          <w:b/>
          <w:bCs/>
          <w:i w:val="false"/>
          <w:iCs w:val="false"/>
          <w:color w:val="0C5A36"/>
          <w:sz w:val="22"/>
          <w:szCs w:val="22"/>
        </w:rPr>
        <w:t xml:space="preserve">• Elasticity Formula: </w:t>
      </w: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2"/>
          <w:szCs w:val="22"/>
        </w:rPr>
        <w:t xml:space="preserve">Elasticity E = (% Δ Modal Price) / (% Δ Arrival Volume)</w:t>
      </w:r>
    </w:p>
    <w:p>
      <w:pPr>
        <w:spacing w:after="60" w:before="60" w:line="276"/>
        <w:jc w:val="left"/>
      </w:pPr>
      <w:r>
        <w:rPr>
          <w:rFonts w:ascii="Plus Jakarta Sans" w:cs="Plus Jakarta Sans" w:eastAsia="Plus Jakarta Sans" w:hAnsi="Plus Jakarta Sans"/>
          <w:b/>
          <w:bCs/>
          <w:i w:val="false"/>
          <w:iCs w:val="false"/>
          <w:color w:val="0C5A36"/>
          <w:sz w:val="22"/>
          <w:szCs w:val="22"/>
        </w:rPr>
        <w:t xml:space="preserve">• Market State Classification: </w:t>
      </w: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2"/>
          <w:szCs w:val="22"/>
        </w:rPr>
        <w:t xml:space="preserve">Classifies dynamics into 'Supply Squeeze (High Demand)', 'Strong Demand Absorption', 'Oversupply Glut (Price Crash Warning)', or 'Stable Absorption'.</w:t>
      </w:r>
    </w:p>
    <w:p>
      <w:pPr>
        <w:pStyle w:val="Heading2"/>
        <w:spacing w:after="120" w:before="260"/>
      </w:pPr>
      <w:r>
        <w:rPr>
          <w:rFonts w:ascii="Plus Jakarta Sans" w:cs="Plus Jakarta Sans" w:eastAsia="Plus Jakarta Sans" w:hAnsi="Plus Jakarta Sans"/>
          <w:b/>
          <w:bCs/>
          <w:color w:val="D97706"/>
          <w:sz w:val="26"/>
          <w:szCs w:val="26"/>
        </w:rPr>
        <w:t xml:space="preserve">Model 4: Farmer AI Advisory &amp; Decision Engine (advisory_engine.py)</w:t>
      </w:r>
    </w:p>
    <w:p>
      <w:pPr>
        <w:spacing w:after="100" w:before="10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2"/>
          <w:szCs w:val="22"/>
        </w:rPr>
        <w:t xml:space="preserve">Synthesizes multi-model predictions (Forecast, Arbitrage, Elasticity) into clear, plain-language actionable advice for farmers:</w:t>
      </w:r>
    </w:p>
    <w:p>
      <w:pPr>
        <w:spacing w:after="60" w:before="60" w:line="276"/>
        <w:jc w:val="left"/>
      </w:pPr>
      <w:r>
        <w:rPr>
          <w:rFonts w:ascii="Plus Jakarta Sans" w:cs="Plus Jakarta Sans" w:eastAsia="Plus Jakarta Sans" w:hAnsi="Plus Jakarta Sans"/>
          <w:b/>
          <w:bCs/>
          <w:i w:val="false"/>
          <w:iCs w:val="false"/>
          <w:color w:val="0C5A36"/>
          <w:sz w:val="22"/>
          <w:szCs w:val="22"/>
        </w:rPr>
        <w:t xml:space="preserve">• Rule 1 (Forecast &gt;= +6%): </w:t>
      </w: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2"/>
          <w:szCs w:val="22"/>
        </w:rPr>
        <w:t xml:space="preserve">VERDICT: 'HOLD / DELAY HARVEST' — Advice to delay harvest/sale for 2–4 days to capture projected price peaks.</w:t>
      </w:r>
    </w:p>
    <w:p>
      <w:pPr>
        <w:spacing w:after="60" w:before="60" w:line="276"/>
        <w:jc w:val="left"/>
      </w:pPr>
      <w:r>
        <w:rPr>
          <w:rFonts w:ascii="Plus Jakarta Sans" w:cs="Plus Jakarta Sans" w:eastAsia="Plus Jakarta Sans" w:hAnsi="Plus Jakarta Sans"/>
          <w:b/>
          <w:bCs/>
          <w:i w:val="false"/>
          <w:iCs w:val="false"/>
          <w:color w:val="0C5A36"/>
          <w:sz w:val="22"/>
          <w:szCs w:val="22"/>
        </w:rPr>
        <w:t xml:space="preserve">• Rule 2 (Forecast &lt;= -4%): </w:t>
      </w: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2"/>
          <w:szCs w:val="22"/>
        </w:rPr>
        <w:t xml:space="preserve">VERDICT: 'SELL IMMEDIATELY' — Advice to liquidate current stock within 48h to avoid anticipated oversupply crashes.</w:t>
      </w:r>
    </w:p>
    <w:p>
      <w:pPr>
        <w:spacing w:after="60" w:before="60" w:line="276"/>
        <w:jc w:val="left"/>
      </w:pPr>
      <w:r>
        <w:rPr>
          <w:rFonts w:ascii="Plus Jakarta Sans" w:cs="Plus Jakarta Sans" w:eastAsia="Plus Jakarta Sans" w:hAnsi="Plus Jakarta Sans"/>
          <w:b/>
          <w:bCs/>
          <w:i w:val="false"/>
          <w:iCs w:val="false"/>
          <w:color w:val="0C5A36"/>
          <w:sz w:val="22"/>
          <w:szCs w:val="22"/>
        </w:rPr>
        <w:t xml:space="preserve">• Rule 3 (Positive Arbitrage): </w:t>
      </w: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2"/>
          <w:szCs w:val="22"/>
        </w:rPr>
        <w:t xml:space="preserve">VERDICT: 'ARBITRAGE: SHIP TO [TARGET MANDI]' — Recommends inter-mandi transport for higher net margins.</w:t>
      </w:r>
    </w:p>
    <w:p>
      <w:pPr>
        <w:spacing w:after="60" w:before="60" w:line="276"/>
        <w:jc w:val="left"/>
      </w:pPr>
      <w:r>
        <w:rPr>
          <w:rFonts w:ascii="Plus Jakarta Sans" w:cs="Plus Jakarta Sans" w:eastAsia="Plus Jakarta Sans" w:hAnsi="Plus Jakarta Sans"/>
          <w:b/>
          <w:bCs/>
          <w:i w:val="false"/>
          <w:iCs w:val="false"/>
          <w:color w:val="0C5A36"/>
          <w:sz w:val="22"/>
          <w:szCs w:val="22"/>
        </w:rPr>
        <w:t xml:space="preserve">• Rule 4 (Market Equilibrium): </w:t>
      </w: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2"/>
          <w:szCs w:val="22"/>
        </w:rPr>
        <w:t xml:space="preserve">VERDICT: 'SELL LOCALLY AT APMC' — Stable spot rates with consistent institutional buyer demand.</w:t>
      </w:r>
    </w:p>
    <w:p>
      <w:pPr>
        <w:pStyle w:val="Heading1"/>
        <w:spacing w:after="160" w:before="360"/>
      </w:pPr>
      <w:r>
        <w:rPr>
          <w:rFonts w:ascii="Plus Jakarta Sans" w:cs="Plus Jakarta Sans" w:eastAsia="Plus Jakarta Sans" w:hAnsi="Plus Jakarta Sans"/>
          <w:b/>
          <w:bCs/>
          <w:color w:val="0C5A36"/>
          <w:sz w:val="32"/>
          <w:szCs w:val="32"/>
        </w:rPr>
        <w:t xml:space="preserve">4. Client-Side Interactive AI &amp; Algorithmic Engines</w:t>
      </w:r>
    </w:p>
    <w:p>
      <w:pPr>
        <w:spacing w:after="100" w:before="10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2"/>
          <w:szCs w:val="22"/>
        </w:rPr>
        <w:t xml:space="preserve">In addition to backend Python ML models, AgriNex executes mathematical and heuristic algorithms directly in client-side modules for instantaneous, zero-latency interactions:</w:t>
      </w:r>
    </w:p>
    <w:p>
      <w:pPr>
        <w:pStyle w:val="Heading2"/>
        <w:spacing w:after="120" w:before="260"/>
      </w:pPr>
      <w:r>
        <w:rPr>
          <w:rFonts w:ascii="Plus Jakarta Sans" w:cs="Plus Jakarta Sans" w:eastAsia="Plus Jakarta Sans" w:hAnsi="Plus Jakarta Sans"/>
          <w:b/>
          <w:bCs/>
          <w:color w:val="166534"/>
          <w:sz w:val="26"/>
          <w:szCs w:val="26"/>
        </w:rPr>
        <w:t xml:space="preserve">1. AI Farmer Acceptance Probability Engine (modal-counter-bid.html)</w:t>
      </w:r>
    </w:p>
    <w:p>
      <w:pPr>
        <w:spacing w:after="100" w:before="10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2"/>
          <w:szCs w:val="22"/>
        </w:rPr>
        <w:t xml:space="preserve">In the Buyer procurement negotiation modal, a non-linear sigmoid elasticity model computes farmer acceptance probabilities as buyers drag the discount slider: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shd w:fill="0C5A3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Buyer Counter-Bid Discount</w:t>
            </w:r>
          </w:p>
        </w:tc>
        <w:tc>
          <w:tcPr>
            <w:tcW w:type="dxa" w:w="3200"/>
            <w:shd w:fill="0C5A3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Farmer Acceptance Probability</w:t>
            </w:r>
          </w:p>
        </w:tc>
        <w:tc>
          <w:tcPr>
            <w:tcW w:type="dxa" w:w="3200"/>
            <w:shd w:fill="0C5A3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Strategic Classification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9"/>
                <w:szCs w:val="19"/>
              </w:rPr>
              <w:t xml:space="preserve">0% (At or Above Ask Price)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F172A"/>
                <w:sz w:val="19"/>
                <w:szCs w:val="19"/>
              </w:rPr>
              <w:t xml:space="preserve">98% Acceptance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F172A"/>
                <w:sz w:val="19"/>
                <w:szCs w:val="19"/>
              </w:rPr>
              <w:t xml:space="preserve">🟢 Instant Close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9"/>
                <w:szCs w:val="19"/>
              </w:rPr>
              <w:t xml:space="preserve">-3% Discount vs. Ask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F172A"/>
                <w:sz w:val="19"/>
                <w:szCs w:val="19"/>
              </w:rPr>
              <w:t xml:space="preserve">91% Acceptance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F172A"/>
                <w:sz w:val="19"/>
                <w:szCs w:val="19"/>
              </w:rPr>
              <w:t xml:space="preserve">🟢 Fast Deal Preset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9"/>
                <w:szCs w:val="19"/>
              </w:rPr>
              <w:t xml:space="preserve">-6% Discount vs. Ask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F172A"/>
                <w:sz w:val="19"/>
                <w:szCs w:val="19"/>
              </w:rPr>
              <w:t xml:space="preserve">82% Acceptance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F172A"/>
                <w:sz w:val="19"/>
                <w:szCs w:val="19"/>
              </w:rPr>
              <w:t xml:space="preserve">🟢 Optimal Profit Margin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9"/>
                <w:szCs w:val="19"/>
              </w:rPr>
              <w:t xml:space="preserve">-10% Discount vs. Ask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F172A"/>
                <w:sz w:val="19"/>
                <w:szCs w:val="19"/>
              </w:rPr>
              <w:t xml:space="preserve">54% Acceptance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F172A"/>
                <w:sz w:val="19"/>
                <w:szCs w:val="19"/>
              </w:rPr>
              <w:t xml:space="preserve">🟡 Aggressive Bulk Saver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9"/>
                <w:szCs w:val="19"/>
              </w:rPr>
              <w:t xml:space="preserve">&gt; -10% Discount vs. Ask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F172A"/>
                <w:sz w:val="19"/>
                <w:szCs w:val="19"/>
              </w:rPr>
              <w:t xml:space="preserve">15% Acceptance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F172A"/>
                <w:sz w:val="19"/>
                <w:szCs w:val="19"/>
              </w:rPr>
              <w:t xml:space="preserve">🔴 Below MSP / Likely Rejection</w:t>
            </w:r>
          </w:p>
        </w:tc>
      </w:tr>
    </w:tbl>
    <w:p>
      <w:pPr>
        <w:pStyle w:val="Heading2"/>
        <w:spacing w:after="120" w:before="260"/>
      </w:pPr>
      <w:r>
        <w:rPr>
          <w:rFonts w:ascii="Plus Jakarta Sans" w:cs="Plus Jakarta Sans" w:eastAsia="Plus Jakarta Sans" w:hAnsi="Plus Jakarta Sans"/>
          <w:b/>
          <w:bCs/>
          <w:color w:val="166534"/>
          <w:sz w:val="26"/>
          <w:szCs w:val="26"/>
        </w:rPr>
        <w:t xml:space="preserve">2. Exact 35% / 65% Escrow Split Integer Math</w:t>
      </w:r>
    </w:p>
    <w:p>
      <w:pPr>
        <w:spacing w:after="100" w:before="10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2"/>
          <w:szCs w:val="22"/>
        </w:rPr>
        <w:t xml:space="preserve">Guarantees exact rupee conservation with zero floating-point rounding leakage across odd and prime lot transactions:</w:t>
      </w:r>
    </w:p>
    <w:p>
      <w:pPr>
        <w:spacing w:after="100" w:before="10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Advance (35%) = Math.floor(Total * 0.35); Balance (65%) = Total - Advance; Total === Advance + Balance</w:t>
      </w:r>
    </w:p>
    <w:p>
      <w:pPr>
        <w:pStyle w:val="Heading2"/>
        <w:spacing w:after="120" w:before="260"/>
      </w:pPr>
      <w:r>
        <w:rPr>
          <w:rFonts w:ascii="Plus Jakarta Sans" w:cs="Plus Jakarta Sans" w:eastAsia="Plus Jakarta Sans" w:hAnsi="Plus Jakarta Sans"/>
          <w:b/>
          <w:bCs/>
          <w:color w:val="166534"/>
          <w:sz w:val="26"/>
          <w:szCs w:val="26"/>
        </w:rPr>
        <w:t xml:space="preserve">3. Real-Time Cold-Chain IoT Anomaly &amp; Spoilage Model (SSE)</w:t>
      </w:r>
    </w:p>
    <w:p>
      <w:pPr>
        <w:spacing w:after="100" w:before="10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2"/>
          <w:szCs w:val="22"/>
        </w:rPr>
        <w:t xml:space="preserve">Consumes real-time sensor streams via Server-Sent Events (/api/logistics/stream-telemetry) to calculate accumulated degree-hour thermal loads:</w:t>
      </w:r>
    </w:p>
    <w:p>
      <w:pPr>
        <w:spacing w:after="60" w:before="60" w:line="276"/>
        <w:jc w:val="left"/>
      </w:pPr>
      <w:r>
        <w:rPr>
          <w:rFonts w:ascii="Plus Jakarta Sans" w:cs="Plus Jakarta Sans" w:eastAsia="Plus Jakarta Sans" w:hAnsi="Plus Jakarta Sans"/>
          <w:b/>
          <w:bCs/>
          <w:i w:val="false"/>
          <w:iCs w:val="false"/>
          <w:color w:val="0C5A36"/>
          <w:sz w:val="22"/>
          <w:szCs w:val="22"/>
        </w:rPr>
        <w:t xml:space="preserve">• Safe Tier (Temp &lt;= 4°C): </w:t>
      </w: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2"/>
          <w:szCs w:val="22"/>
        </w:rPr>
        <w:t xml:space="preserve">Normal freshness guaranteed for perishables.</w:t>
      </w:r>
    </w:p>
    <w:p>
      <w:pPr>
        <w:spacing w:after="60" w:before="60" w:line="276"/>
        <w:jc w:val="left"/>
      </w:pPr>
      <w:r>
        <w:rPr>
          <w:rFonts w:ascii="Plus Jakarta Sans" w:cs="Plus Jakarta Sans" w:eastAsia="Plus Jakarta Sans" w:hAnsi="Plus Jakarta Sans"/>
          <w:b/>
          <w:bCs/>
          <w:i w:val="false"/>
          <w:iCs w:val="false"/>
          <w:color w:val="0C5A36"/>
          <w:sz w:val="22"/>
          <w:szCs w:val="22"/>
        </w:rPr>
        <w:t xml:space="preserve">• Warning Tier (4°C &lt; Temp &lt;= 8°C for &gt; 30 mins): </w:t>
      </w: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Thermal alert; triggers reefer boost recommendation.</w:t>
      </w:r>
    </w:p>
    <w:p>
      <w:pPr>
        <w:spacing w:after="60" w:before="60" w:line="276"/>
        <w:jc w:val="left"/>
      </w:pPr>
      <w:r>
        <w:rPr>
          <w:rFonts w:ascii="Plus Jakarta Sans" w:cs="Plus Jakarta Sans" w:eastAsia="Plus Jakarta Sans" w:hAnsi="Plus Jakarta Sans"/>
          <w:b/>
          <w:bCs/>
          <w:i w:val="false"/>
          <w:iCs w:val="false"/>
          <w:color w:val="0C5A36"/>
          <w:sz w:val="22"/>
          <w:szCs w:val="22"/>
        </w:rPr>
        <w:t xml:space="preserve">• Critical Spoilage Tier (Temp &gt; 8°C): </w:t>
      </w: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Auto-flags driver console, alerts buyer, and logs immutable incident for arbitration tribunal.</w:t>
      </w:r>
    </w:p>
    <w:p>
      <w:pPr>
        <w:pStyle w:val="Heading2"/>
        <w:spacing w:after="120" w:before="260"/>
      </w:pPr>
      <w:r>
        <w:rPr>
          <w:rFonts w:ascii="Plus Jakarta Sans" w:cs="Plus Jakarta Sans" w:eastAsia="Plus Jakarta Sans" w:hAnsi="Plus Jakarta Sans"/>
          <w:b/>
          <w:bCs/>
          <w:color w:val="166534"/>
          <w:sz w:val="26"/>
          <w:szCs w:val="26"/>
        </w:rPr>
        <w:t xml:space="preserve">4. Inward Weighbridge Moisture &amp; Theft Classification Model</w:t>
      </w:r>
    </w:p>
    <w:p>
      <w:pPr>
        <w:spacing w:after="100" w:before="10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2"/>
          <w:szCs w:val="22"/>
        </w:rPr>
        <w:t xml:space="preserve">Compares dispatch weight against inward weighbridge weight to differentiate natural moisture loss from theft:</w:t>
      </w:r>
    </w:p>
    <w:p>
      <w:pPr>
        <w:spacing w:after="60" w:before="60" w:line="276"/>
        <w:jc w:val="left"/>
      </w:pPr>
      <w:r>
        <w:rPr>
          <w:rFonts w:ascii="Plus Jakarta Sans" w:cs="Plus Jakarta Sans" w:eastAsia="Plus Jakarta Sans" w:hAnsi="Plus Jakarta Sans"/>
          <w:b/>
          <w:bCs/>
          <w:i w:val="false"/>
          <w:iCs w:val="false"/>
          <w:color w:val="0C5A36"/>
          <w:sz w:val="22"/>
          <w:szCs w:val="22"/>
        </w:rPr>
        <w:t xml:space="preserve">• Loss &lt;= 2.0%: </w:t>
      </w: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2"/>
          <w:szCs w:val="22"/>
        </w:rPr>
        <w:t xml:space="preserve">Natural transit moisture loss tolerance -&gt; Instant 65% escrow balance clearance.</w:t>
      </w:r>
    </w:p>
    <w:p>
      <w:pPr>
        <w:spacing w:after="60" w:before="60" w:line="276"/>
        <w:jc w:val="left"/>
      </w:pPr>
      <w:r>
        <w:rPr>
          <w:rFonts w:ascii="Plus Jakarta Sans" w:cs="Plus Jakarta Sans" w:eastAsia="Plus Jakarta Sans" w:hAnsi="Plus Jakarta Sans"/>
          <w:b/>
          <w:bCs/>
          <w:i w:val="false"/>
          <w:iCs w:val="false"/>
          <w:color w:val="0C5A36"/>
          <w:sz w:val="22"/>
          <w:szCs w:val="22"/>
        </w:rPr>
        <w:t xml:space="preserve">• 2.0% &lt; Loss &lt;= 5.0%: </w:t>
      </w: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2"/>
          <w:szCs w:val="22"/>
        </w:rPr>
        <w:t xml:space="preserve">Minor discrepancy -&gt; Pro-rata balance payout adjustment.</w:t>
      </w:r>
    </w:p>
    <w:p>
      <w:pPr>
        <w:spacing w:after="60" w:before="60" w:line="276"/>
        <w:jc w:val="left"/>
      </w:pPr>
      <w:r>
        <w:rPr>
          <w:rFonts w:ascii="Plus Jakarta Sans" w:cs="Plus Jakarta Sans" w:eastAsia="Plus Jakarta Sans" w:hAnsi="Plus Jakarta Sans"/>
          <w:b/>
          <w:bCs/>
          <w:i w:val="false"/>
          <w:iCs w:val="false"/>
          <w:color w:val="0C5A36"/>
          <w:sz w:val="22"/>
          <w:szCs w:val="22"/>
        </w:rPr>
        <w:t xml:space="preserve">• Loss &gt; 5.0%: </w:t>
      </w: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2"/>
          <w:szCs w:val="22"/>
        </w:rPr>
        <w:t xml:space="preserve">Fraud threshold -&gt; Payment hold and auto-escalation to Grievance Tribunal.</w:t>
      </w:r>
    </w:p>
    <w:p>
      <w:pPr>
        <w:pStyle w:val="Heading2"/>
        <w:spacing w:after="120" w:before="260"/>
      </w:pPr>
      <w:r>
        <w:rPr>
          <w:rFonts w:ascii="Plus Jakarta Sans" w:cs="Plus Jakarta Sans" w:eastAsia="Plus Jakarta Sans" w:hAnsi="Plus Jakarta Sans"/>
          <w:b/>
          <w:bCs/>
          <w:color w:val="166534"/>
          <w:sz w:val="26"/>
          <w:szCs w:val="26"/>
        </w:rPr>
        <w:t xml:space="preserve">5. Haversine Multi-Stop Transit &amp; Fuel Optimizer</w:t>
      </w:r>
    </w:p>
    <w:p>
      <w:pPr>
        <w:spacing w:after="100" w:before="10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2"/>
          <w:szCs w:val="22"/>
        </w:rPr>
        <w:t xml:space="preserve">Employs the Haversine spherical geodesic distance formula and permutation heuristics to optimize multi-farm collection routes for FPO collective pooling, reducing diesel consumption by 14% to 22%.</w:t>
      </w:r>
    </w:p>
    <w:p>
      <w:pPr>
        <w:pStyle w:val="Heading1"/>
        <w:spacing w:after="160" w:before="360"/>
      </w:pPr>
      <w:r>
        <w:rPr>
          <w:rFonts w:ascii="Plus Jakarta Sans" w:cs="Plus Jakarta Sans" w:eastAsia="Plus Jakarta Sans" w:hAnsi="Plus Jakarta Sans"/>
          <w:b/>
          <w:bCs/>
          <w:color w:val="0C5A36"/>
          <w:sz w:val="32"/>
          <w:szCs w:val="32"/>
        </w:rPr>
        <w:t xml:space="preserve">5. Quality Assurance, Security &amp; Verification Suite</w:t>
      </w:r>
    </w:p>
    <w:p>
      <w:pPr>
        <w:spacing w:after="100" w:before="10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AgriNex is backed by a native Node.js test suite with 100% passing test suites across mathematical algorithms, security guards, i18n engines, and REST endpoints: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shd w:fill="0C5A3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Test Suite File</w:t>
            </w:r>
          </w:p>
        </w:tc>
        <w:tc>
          <w:tcPr>
            <w:tcW w:type="dxa" w:w="1400"/>
            <w:shd w:fill="0C5A3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Total Tests</w:t>
            </w:r>
          </w:p>
        </w:tc>
        <w:tc>
          <w:tcPr>
            <w:tcW w:type="dxa" w:w="3600"/>
            <w:shd w:fill="0C5A3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Verified Capabilities</w:t>
            </w:r>
          </w:p>
        </w:tc>
        <w:tc>
          <w:tcPr>
            <w:tcW w:type="dxa" w:w="1400"/>
            <w:shd w:fill="0C5A3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9"/>
                <w:szCs w:val="19"/>
              </w:rPr>
              <w:t xml:space="preserve">test/admin_auth.test.js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F172A"/>
                <w:sz w:val="19"/>
                <w:szCs w:val="19"/>
              </w:rPr>
              <w:t xml:space="preserve">4 Tests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F172A"/>
                <w:sz w:val="19"/>
                <w:szCs w:val="19"/>
              </w:rPr>
              <w:t xml:space="preserve">RBAC zero-trust guards, token sync, session recovery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F172A"/>
                <w:sz w:val="19"/>
                <w:szCs w:val="19"/>
              </w:rPr>
              <w:t xml:space="preserve">✔ PASS (100%)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9"/>
                <w:szCs w:val="19"/>
              </w:rPr>
              <w:t xml:space="preserve">test/buyer_api_live.test.js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F172A"/>
                <w:sz w:val="19"/>
                <w:szCs w:val="19"/>
              </w:rPr>
              <w:t xml:space="preserve">16 Tests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F172A"/>
                <w:sz w:val="19"/>
                <w:szCs w:val="19"/>
              </w:rPr>
              <w:t xml:space="preserve">Demand creation, counter-bidding, escrow lock &amp; release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F172A"/>
                <w:sz w:val="19"/>
                <w:szCs w:val="19"/>
              </w:rPr>
              <w:t xml:space="preserve">✔ PASS (100%)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9"/>
                <w:szCs w:val="19"/>
              </w:rPr>
              <w:t xml:space="preserve">test/buyer_math.test.js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F172A"/>
                <w:sz w:val="19"/>
                <w:szCs w:val="19"/>
              </w:rPr>
              <w:t xml:space="preserve">13 Tests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F172A"/>
                <w:sz w:val="19"/>
                <w:szCs w:val="19"/>
              </w:rPr>
              <w:t xml:space="preserve">35/65 escrow conservation, TCO, GSTIN/FSSAI regex, JWT guard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F172A"/>
                <w:sz w:val="19"/>
                <w:szCs w:val="19"/>
              </w:rPr>
              <w:t xml:space="preserve">✔ PASS (100%)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9"/>
                <w:szCs w:val="19"/>
              </w:rPr>
              <w:t xml:space="preserve">test/buyer_phase123.test.js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F172A"/>
                <w:sz w:val="19"/>
                <w:szCs w:val="19"/>
              </w:rPr>
              <w:t xml:space="preserve">7 Tests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F172A"/>
                <w:sz w:val="19"/>
                <w:szCs w:val="19"/>
              </w:rPr>
              <w:t xml:space="preserve">Anti-XSS sanitization, escrow idempotency, SSE streams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F172A"/>
                <w:sz w:val="19"/>
                <w:szCs w:val="19"/>
              </w:rPr>
              <w:t xml:space="preserve">✔ PASS (100%)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9"/>
                <w:szCs w:val="19"/>
              </w:rPr>
              <w:t xml:space="preserve">test/chat_i18n.test.js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F172A"/>
                <w:sz w:val="19"/>
                <w:szCs w:val="19"/>
              </w:rPr>
              <w:t xml:space="preserve">4 Tests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F172A"/>
                <w:sz w:val="19"/>
                <w:szCs w:val="19"/>
              </w:rPr>
              <w:t xml:space="preserve">Multi-lingual chat translation into Hindi and Marathi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F172A"/>
                <w:sz w:val="19"/>
                <w:szCs w:val="19"/>
              </w:rPr>
              <w:t xml:space="preserve">✔ PASS (100%)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9"/>
                <w:szCs w:val="19"/>
              </w:rPr>
              <w:t xml:space="preserve">test/cross_module_sync.test.js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F172A"/>
                <w:sz w:val="19"/>
                <w:szCs w:val="19"/>
              </w:rPr>
              <w:t xml:space="preserve">3 Tests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F172A"/>
                <w:sz w:val="19"/>
                <w:szCs w:val="19"/>
              </w:rPr>
              <w:t xml:space="preserve">Farmer-Buyer-Logistics data synchronization contracts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F172A"/>
                <w:sz w:val="19"/>
                <w:szCs w:val="19"/>
              </w:rPr>
              <w:t xml:space="preserve">✔ PASS (100%)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9"/>
                <w:szCs w:val="19"/>
              </w:rPr>
              <w:t xml:space="preserve">test/i18n_comprehensive.test.js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F172A"/>
                <w:sz w:val="19"/>
                <w:szCs w:val="19"/>
              </w:rPr>
              <w:t xml:space="preserve">4 Tests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F172A"/>
                <w:sz w:val="19"/>
                <w:szCs w:val="19"/>
              </w:rPr>
              <w:t xml:space="preserve">Translation key completeness across EN/HI/MR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F172A"/>
                <w:sz w:val="19"/>
                <w:szCs w:val="19"/>
              </w:rPr>
              <w:t xml:space="preserve">✔ PASS (100%)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9"/>
                <w:szCs w:val="19"/>
              </w:rPr>
              <w:t xml:space="preserve">test/i18n_translation_check.test.js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F172A"/>
                <w:sz w:val="19"/>
                <w:szCs w:val="19"/>
              </w:rPr>
              <w:t xml:space="preserve">2 Tests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F172A"/>
                <w:sz w:val="19"/>
                <w:szCs w:val="19"/>
              </w:rPr>
              <w:t xml:space="preserve">State leakage and lastIndex regex safety in i18n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F172A"/>
                <w:sz w:val="19"/>
                <w:szCs w:val="19"/>
              </w:rPr>
              <w:t xml:space="preserve">✔ PASS (100%)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9"/>
                <w:szCs w:val="19"/>
              </w:rPr>
              <w:t xml:space="preserve">test/logistics_enhancement.test.js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F172A"/>
                <w:sz w:val="19"/>
                <w:szCs w:val="19"/>
              </w:rPr>
              <w:t xml:space="preserve">8 Tests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F172A"/>
                <w:sz w:val="19"/>
                <w:szCs w:val="19"/>
              </w:rPr>
              <w:t xml:space="preserve">PIN security, SSE IoT sensors, Haversine routing, digital POD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F172A"/>
                <w:sz w:val="19"/>
                <w:szCs w:val="19"/>
              </w:rPr>
              <w:t xml:space="preserve">✔ PASS (100%)</w:t>
            </w:r>
          </w:p>
        </w:tc>
      </w:tr>
    </w:tbl>
    <w:p>
      <w:pPr>
        <w:pStyle w:val="Heading1"/>
        <w:spacing w:after="160" w:before="360"/>
      </w:pPr>
      <w:r>
        <w:rPr>
          <w:rFonts w:ascii="Plus Jakarta Sans" w:cs="Plus Jakarta Sans" w:eastAsia="Plus Jakarta Sans" w:hAnsi="Plus Jakarta Sans"/>
          <w:b/>
          <w:bCs/>
          <w:color w:val="0C5A36"/>
          <w:sz w:val="32"/>
          <w:szCs w:val="32"/>
        </w:rPr>
        <w:t xml:space="preserve">6. Evaluator Portal &amp; One-Click Demo Access</w:t>
      </w:r>
    </w:p>
    <w:p>
      <w:pPr>
        <w:spacing w:after="100" w:before="100" w:line="276"/>
        <w:jc w:val="left"/>
      </w:pP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2"/>
          <w:szCs w:val="22"/>
        </w:rPr>
        <w:t xml:space="preserve">To demonstrate the working platform to evaluators, use the following credentials or one-click demo logins: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0C5A3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Stakeholder Portal</w:t>
            </w:r>
          </w:p>
        </w:tc>
        <w:tc>
          <w:tcPr>
            <w:tcW w:type="dxa" w:w="3600"/>
            <w:shd w:fill="0C5A3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000"/>
            <w:shd w:fill="0C5A3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Email / Identifier</w:t>
            </w:r>
          </w:p>
        </w:tc>
        <w:tc>
          <w:tcPr>
            <w:tcW w:type="dxa" w:w="1200"/>
            <w:shd w:fill="0C5A3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9"/>
                <w:szCs w:val="19"/>
              </w:rPr>
              <w:t xml:space="preserve">🌾 Farmer Module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F172A"/>
                <w:sz w:val="19"/>
                <w:szCs w:val="19"/>
              </w:rPr>
              <w:t xml:space="preserve">http://localhost:3000/farmer-module/index.html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F172A"/>
                <w:sz w:val="19"/>
                <w:szCs w:val="19"/>
              </w:rPr>
              <w:t xml:space="preserve">farmer@agrinex.in (or 9876543210)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F172A"/>
                <w:sz w:val="19"/>
                <w:szCs w:val="19"/>
              </w:rPr>
              <w:t xml:space="preserve">Farmer@123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9"/>
                <w:szCs w:val="19"/>
              </w:rPr>
              <w:t xml:space="preserve">🏢 Buyer Module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F172A"/>
                <w:sz w:val="19"/>
                <w:szCs w:val="19"/>
              </w:rPr>
              <w:t xml:space="preserve">http://localhost:3000/buyer-module/index.html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F172A"/>
                <w:sz w:val="19"/>
                <w:szCs w:val="19"/>
              </w:rPr>
              <w:t xml:space="preserve">buyer@agrifoods.com (or 9876543211)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F172A"/>
                <w:sz w:val="19"/>
                <w:szCs w:val="19"/>
              </w:rPr>
              <w:t xml:space="preserve">Buyer@123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9"/>
                <w:szCs w:val="19"/>
              </w:rPr>
              <w:t xml:space="preserve">🚚 Logistics Module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F172A"/>
                <w:sz w:val="19"/>
                <w:szCs w:val="19"/>
              </w:rPr>
              <w:t xml:space="preserve">http://localhost:3000/logistics-module/index.html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F172A"/>
                <w:sz w:val="19"/>
                <w:szCs w:val="19"/>
              </w:rPr>
              <w:t xml:space="preserve">logistics@greenways.com (or 9876543212)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F172A"/>
                <w:sz w:val="19"/>
                <w:szCs w:val="19"/>
              </w:rPr>
              <w:t xml:space="preserve">Logistics@123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9"/>
                <w:szCs w:val="19"/>
              </w:rPr>
              <w:t xml:space="preserve">🛡️ Admin &amp; Governance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F172A"/>
                <w:sz w:val="19"/>
                <w:szCs w:val="19"/>
              </w:rPr>
              <w:t xml:space="preserve">http://localhost:3000/admin-module/index.html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F172A"/>
                <w:sz w:val="19"/>
                <w:szCs w:val="19"/>
              </w:rPr>
              <w:t xml:space="preserve">admin@agrinex.gov.in (or 9000000001)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F172A"/>
                <w:sz w:val="19"/>
                <w:szCs w:val="19"/>
              </w:rPr>
              <w:t xml:space="preserve">Admin@123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0F172A"/>
                <w:sz w:val="19"/>
                <w:szCs w:val="19"/>
              </w:rPr>
              <w:t xml:space="preserve">🔀 Gateway Hub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F172A"/>
                <w:sz w:val="19"/>
                <w:szCs w:val="19"/>
              </w:rPr>
              <w:t xml:space="preserve">http://localhost:3000/login_details/index.html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F172A"/>
                <w:sz w:val="19"/>
                <w:szCs w:val="19"/>
              </w:rPr>
              <w:t xml:space="preserve">Select Any Portal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0F172A"/>
                <w:sz w:val="19"/>
                <w:szCs w:val="19"/>
              </w:rPr>
              <w:t xml:space="preserve">One-Click Quick Login</w:t>
            </w:r>
          </w:p>
        </w:tc>
      </w:tr>
    </w:tbl>
    <w:p>
      <w:pPr>
        <w:spacing w:after="100" w:before="200" w:line="276"/>
        <w:jc w:val="left"/>
      </w:pPr>
      <w:r>
        <w:rPr>
          <w:rFonts w:ascii="Plus Jakarta Sans" w:cs="Plus Jakarta Sans" w:eastAsia="Plus Jakarta Sans" w:hAnsi="Plus Jakarta Sans"/>
          <w:b/>
          <w:bCs/>
          <w:i w:val="false"/>
          <w:iCs w:val="false"/>
          <w:color w:val="0C5A36"/>
          <w:sz w:val="22"/>
          <w:szCs w:val="22"/>
        </w:rPr>
        <w:t xml:space="preserve">
Document Generated: </w:t>
      </w:r>
      <w:r>
        <w:rPr>
          <w:rFonts w:ascii="Plus Jakarta Sans" w:cs="Plus Jakarta Sans" w:eastAsia="Plus Jakarta Sans" w:hAnsi="Plus Jakarta Sans"/>
          <w:b w:val="false"/>
          <w:bCs w:val="false"/>
          <w:i w:val="false"/>
          <w:iCs w:val="false"/>
          <w:color w:val="0F172A"/>
          <w:sz w:val="22"/>
          <w:szCs w:val="22"/>
        </w:rPr>
        <w:t xml:space="preserve">Monday, 21 September 2026</w:t>
      </w:r>
      <w:r>
        <w:rPr>
          <w:rFonts w:ascii="Plus Jakarta Sans" w:cs="Plus Jakarta Sans" w:eastAsia="Plus Jakarta Sans" w:hAnsi="Plus Jakarta Sans"/>
          <w:b w:val="false"/>
          <w:bCs w:val="false"/>
          <w:i/>
          <w:iCs/>
          <w:color w:val="64748B"/>
          <w:sz w:val="22"/>
          <w:szCs w:val="22"/>
        </w:rPr>
        <w:t xml:space="preserve"> | AgriNex Engineering &amp; Product Review Master Guide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2026-09-21T08:22:01.794Z</dcterms:created>
  <dcterms:modified xsi:type="dcterms:W3CDTF">2026-09-21T08:22:01.794Z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