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/>
          <w:b/>
          <w:color w:val="475569"/>
          <w:sz w:val="22"/>
        </w:rPr>
        <w:t>ACADEMIC LABORATORY &amp; PROJECT REPORT</w:t>
        <w:br/>
        <w:t>DEPARTMENT OF ARTIFICIAL INTELLIGENCE &amp; MACHINE LEARNING</w:t>
        <w:br/>
      </w:r>
      <w:r>
        <w:rPr>
          <w:rFonts w:ascii="Calibri" w:hAnsi="Calibri"/>
          <w:b/>
          <w:color w:val="1E3A8A"/>
          <w:sz w:val="36"/>
        </w:rPr>
        <w:t>DEEPLEARNX: DEEP LEARNING-DRIVEN COGNITIVE DIAGNOSTIC &amp; KNOWLEDGE GAP DETECTION PLATFORM</w:t>
        <w:br/>
      </w:r>
      <w:r>
        <w:rPr>
          <w:rFonts w:ascii="Calibri" w:hAnsi="Calibri"/>
          <w:color w:val="0D9488"/>
          <w:sz w:val="24"/>
        </w:rPr>
        <w:t>Addressing the False Mastery Crisis via Multi-Branch Recurrent Neural Networks, Self-Attention Localizers, Two-Tier Cognitive Probes, and Generative Curriculum Synthesis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3600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Project Specification</w:t>
            </w:r>
          </w:p>
        </w:tc>
        <w:tc>
          <w:tcPr>
            <w:tcW w:type="dxa" w:w="5760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 &amp; Configuration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Course Title &amp; Domain</w:t>
            </w:r>
          </w:p>
        </w:tc>
        <w:tc>
          <w:tcPr>
            <w:tcW w:type="dxa" w:w="576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Deep Learning Laboratory (Predictive, Sequential, Generative &amp; Multimodal AI)</w:t>
            </w:r>
          </w:p>
        </w:tc>
      </w:tr>
      <w:tr>
        <w:tc>
          <w:tcPr>
            <w:tcW w:type="dxa" w:w="360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Course Outcomes Mapped</w:t>
            </w:r>
          </w:p>
        </w:tc>
        <w:tc>
          <w:tcPr>
            <w:tcW w:type="dxa" w:w="576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CO1, CO2, CO3, CO4, CO5 (100% Comprehensive Syllabus Alignment)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Cognitive Taxonomy Levels</w:t>
            </w:r>
          </w:p>
        </w:tc>
        <w:tc>
          <w:tcPr>
            <w:tcW w:type="dxa" w:w="576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Revised Bloom's Taxonomy: Ap (Apply) &amp; An (Analyze)</w:t>
            </w:r>
          </w:p>
        </w:tc>
      </w:tr>
      <w:tr>
        <w:tc>
          <w:tcPr>
            <w:tcW w:type="dxa" w:w="360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Deep Learning Architecture</w:t>
            </w:r>
          </w:p>
        </w:tc>
        <w:tc>
          <w:tcPr>
            <w:tcW w:type="dxa" w:w="576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DeepCognitiveNet (Bi-GRU + Self-Attention Pooling + Dense ANN + Multimodal Fusion)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Target Performance</w:t>
            </w:r>
          </w:p>
        </w:tc>
        <w:tc>
          <w:tcPr>
            <w:tcW w:type="dxa" w:w="576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Overall Diagnostic Accuracy: 100.0%, Macro F1: 1.000, Prereq Risk MAE: 0.0587</w:t>
            </w:r>
          </w:p>
        </w:tc>
      </w:tr>
      <w:tr>
        <w:tc>
          <w:tcPr>
            <w:tcW w:type="dxa" w:w="360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Generative AI Backbone</w:t>
            </w:r>
          </w:p>
        </w:tc>
        <w:tc>
          <w:tcPr>
            <w:tcW w:type="dxa" w:w="576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Google Gemini LLM API (Gemini 3.5 Flash Lite / 3.8 Flash) with Dynamic PDF Parser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Target Repository</w:t>
            </w:r>
          </w:p>
        </w:tc>
        <w:tc>
          <w:tcPr>
            <w:tcW w:type="dxa" w:w="576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Private GitHub Repository: varthanharsh35-ux/DeepLearnX</w:t>
            </w:r>
          </w:p>
        </w:tc>
      </w:tr>
      <w:tr>
        <w:tc>
          <w:tcPr>
            <w:tcW w:type="dxa" w:w="360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Documentation Date</w:t>
            </w:r>
          </w:p>
        </w:tc>
        <w:tc>
          <w:tcPr>
            <w:tcW w:type="dxa" w:w="576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October 2026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before="80" w:after="80"/>
              <w:ind w:left="216" w:right="216"/>
            </w:pPr>
            <w:r>
              <w:rPr>
                <w:rFonts w:ascii="Calibri" w:hAnsi="Calibri"/>
                <w:b/>
                <w:color w:val="1E3A8A"/>
                <w:sz w:val="22"/>
              </w:rPr>
              <w:t>Core Project Tenet</w:t>
              <w:br/>
            </w:r>
            <w:r>
              <w:rPr>
                <w:rFonts w:ascii="Calibri" w:hAnsi="Calibri"/>
                <w:i/>
                <w:color w:val="1E293B"/>
                <w:sz w:val="20"/>
              </w:rPr>
              <w:t>"The purpose of learning assessment is not to assign an autopsy grade, but to perform a precise clinical diagnosis that exposes latent misconception traps and guides remedial intervention before downstream failure occurs."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20"/>
      </w:pPr>
      <w:r>
        <w:t>1. Executive Summary</w:t>
      </w:r>
    </w:p>
    <w:p>
      <w:r>
        <w:t>Modern educational technology and assessment infrastructures rely overwhelmingly on traditional Multiple-Choice Question (MCQ) systems. While computationally scalable, standard MCQ formats possess a fundamental, catastrophic architectural flaw: they treat test-taking accuracy as a direct proxy for genuine conceptual mastery. Empirical psychometric studies demonstrate that upwards of 35% of correct answers in standard assessments arise from superficial heuristics, test-taking elimination tricks, length-bias exploitation, or blind lucky guessing. This gives rise to the "False Mastery" phenomenon—a condition where a student obtains an ostensibly passing grade (e.g., 85%) while harboring severe foundational knowledge gaps and systemic cognitive misconceptions. When such students subsequently encounter advanced topics that mathematically or conceptually depend upon those prerequisites, their comprehension collapses catastrophically.</w:t>
      </w:r>
    </w:p>
    <w:p>
      <w:r>
        <w:t>To resolve this pedagogical crisis, DeepLearnX was engineered as an end-to-end, clinically rigorous Cognitive Diagnostic &amp; Knowledge Gap Detection Platform. DeepLearnX departs from blunt post-mortem grading by pioneering a unified trifecta: (1) A cognitive curriculum decomposed into Directed Acyclic Graphs (DAGs) with 3-tier Bloom's taxonomy questions and Two-Tier Diagnostic Reasoning Probes; (2) DeepCognitiveNet, a custom multi-branch deep neural network integrating 2-layer Bidirectional Gated Recurrent Units (Bi-GRU), Self-Attention Pooling alignment mechanisms, and structured psychometric multi-task heads; and (3) A Generative Curriculum Engine powered by Google Gemini generative models to dynamically synthesize authentic, domain-accurate question banks and remediation mini-lessons on demand from any syllabus.</w:t>
      </w:r>
    </w:p>
    <w:p>
      <w:pPr>
        <w:pStyle w:val="Heading1"/>
        <w:spacing w:before="280" w:after="120"/>
      </w:pPr>
      <w:r>
        <w:t>2. Pedagogical Problem Statement &amp; Cognitive Diagnostics</w:t>
      </w:r>
    </w:p>
    <w:p>
      <w:r>
        <w:t>Standard psychometric models, such as Classical Test Theory (CTT) and 1-Parameter Item Response Theory (Rasch Models), evaluate learners along a single unidimensional latent trait θ. However, human cognitive understanding is intrinsically multidimensional, non-linear, and sequential. DeepLearnX enforces a three-layer pedagogical architecture:</w:t>
      </w:r>
    </w:p>
    <w:p>
      <w:pPr>
        <w:pStyle w:val="ListBullet"/>
      </w:pPr>
      <w:r>
        <w:rPr>
          <w:b/>
        </w:rPr>
        <w:t xml:space="preserve">Prerequisite Concept Dependency DAG: </w:t>
      </w:r>
      <w:r>
        <w:t>Knowledge is structured not as disconnected question items, but as a formal Directed Acyclic Graph G = (V, E), where vertices represent atomic concepts and directed edges (u, v) in E encode strict prerequisite relations: mastering concept v is impossible without genuine foundational understanding of concept u.</w:t>
      </w:r>
    </w:p>
    <w:p>
      <w:pPr>
        <w:pStyle w:val="ListBullet"/>
      </w:pPr>
      <w:r>
        <w:rPr>
          <w:b/>
        </w:rPr>
        <w:t xml:space="preserve">Equalized Three-Tier Question Taxonomy: </w:t>
      </w:r>
      <w:r>
        <w:t>Assessments are strictly partitioned into: Tier 1 (Basic Recall / Definitions), Tier 2 (Conceptual Mechanisms / Underlying Causes), and Tier 3 (Applied Problem-Solving / Real-world Transfer). To eliminate test-wiseness cues, all distractors are strictly normalized in length and syntactic complexity.</w:t>
      </w:r>
    </w:p>
    <w:p>
      <w:pPr>
        <w:pStyle w:val="ListBullet"/>
      </w:pPr>
      <w:r>
        <w:rPr>
          <w:b/>
        </w:rPr>
        <w:t xml:space="preserve">Two-Tier Diagnostic Reasoning Probes: </w:t>
      </w:r>
      <w:r>
        <w:t>For applied analytical problems, selecting an answer immediately triggers a compulsory Tier-2 probe: "Which fundamental governing law or causal mechanism justifies your response?" Even if a student guessed the correct surface answer in Tier 1, failing the Tier-2 probe flags a Principle Mismatch, exposing False Mastery in real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EF2F2"/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80" w:after="80"/>
              <w:ind w:left="216" w:right="216"/>
            </w:pPr>
            <w:r>
              <w:rPr>
                <w:rFonts w:ascii="Calibri" w:hAnsi="Calibri"/>
                <w:b/>
                <w:color w:val="1E3A8A"/>
                <w:sz w:val="22"/>
              </w:rPr>
              <w:t>Formal Diagnostic Criterion</w:t>
              <w:br/>
            </w:r>
            <w:r>
              <w:rPr>
                <w:rFonts w:ascii="Calibri" w:hAnsi="Calibri"/>
                <w:i/>
                <w:color w:val="1E293B"/>
                <w:sz w:val="20"/>
              </w:rPr>
              <w:t>Mathematical Definition of False Mastery: Let A_t in {0, 1} represent Tier-1 correctness and P_t in {0, 1} represent Tier-2 justification correctness. False Mastery is formally identified when P(A_t = 1 | P_t = 0) &gt; 0, indicating lucky guessing or rote memorization without underlying conceptual causality.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20"/>
      </w:pPr>
      <w:r>
        <w:t>3. Deep Learning Architecture: DeepCognitiveNet</w:t>
      </w:r>
    </w:p>
    <w:p>
      <w:r>
        <w:t>To process temporal response latencies, confidence dynamics, and tabular psychometric vectors simultaneously, we engineered DeepCognitiveNet in PyTorch. DeepCognitiveNet is a dual-branch neural architecture featuring recurrent sequential processing, self-attention bottleneck pooling, and dense tabular representation learning.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color w:val="475569"/>
          <w:sz w:val="19"/>
        </w:rPr>
        <w:t>Figure 1: Complete DeepCognitiveNet Multi-Branch Neural Network Architecture.</w:t>
      </w:r>
    </w:p>
    <w:p>
      <w:pPr>
        <w:pStyle w:val="Heading2"/>
      </w:pPr>
      <w:r>
        <w:t>3.1 Dual-Branch Processing Pipeline</w:t>
      </w:r>
    </w:p>
    <w:p>
      <w:r>
        <w:t>DeepCognitiveNet partitions student behavior into two complementary cognitive pathways:</w:t>
      </w:r>
    </w:p>
    <w:p>
      <w:r>
        <w:rPr>
          <w:b/>
        </w:rPr>
        <w:t>1. Branch 1: Recurrent Temporal Sequential Branch (Bi-GRU + Attention)</w:t>
        <w:br/>
      </w:r>
      <w:r>
        <w:t>At each sequential question step t in {1, ..., T}, the model embeds categorical attributes: Concept ID (Embedding: 12 -&gt; 16), Cognitive Tier (Embedding: 3 -&gt; 8), and Misconception ID (Embedding: 11 -&gt; 8). These are concatenated with continuous behavioral indicators [is_correct_t, normalized_time_t, normalized_confidence_t], yielding a 35-dimensional step vector x_t in R^35. A linear projection layer maps x_t to 48 dimensions, feeding into a 2-layer Bidirectional GRU (hidden dimension = 48, bidirectional hidden states h_t in R^96). Bidirectionality captures both forward learning progression and retroactive error cascade contexts across the assessment sequence.</w:t>
      </w:r>
    </w:p>
    <w:p>
      <w:r>
        <w:rPr>
          <w:b/>
        </w:rPr>
        <w:t>2. Branch 2: Structured Psychometric Tabular Branch (Dense ANN)</w:t>
        <w:br/>
      </w:r>
      <w:r>
        <w:t>Simultaneously, a 9-dimensional psychometric summary vector is extracted from the session: [Overall Accuracy, Basic Accuracy, Conceptual Accuracy, Applied Accuracy, Tier Divergence, Average Time, Average Confidence, Trap Distractor Ratio, Streak Consistency]. This vector is processed through a dense neural network: Linear(9 -&gt; 64) -&gt; BatchNorm1d(64) -&gt; GELU -&gt; Dropout(0.2) -&gt; Linear(64 -&gt; 48) -&gt; GELU, producing a 48-dimensional latent psychometric state h_struct in R^48.</w:t>
      </w:r>
    </w:p>
    <w:p>
      <w:pPr>
        <w:pStyle w:val="Heading2"/>
      </w:pPr>
      <w:r>
        <w:t>3.2 Self-Attention Pooling Mechanism</w:t>
      </w:r>
    </w:p>
    <w:p>
      <w:r>
        <w:t>Standard recurrent architectures use either the final hidden state h_T or mean pooling, both of which suffer from severe limitations: the final state suffers from recency bias, while mean pooling dilutes acute cognitive failure signals across all questions. To pinpoint the exact diagnostic bottleneck question that triggered a conceptual breakdown, DeepCognitiveNet implements an explicit Self-Attention Pooling module:</w:t>
      </w:r>
    </w:p>
    <w:p>
      <w:r>
        <w:t>u_t = tanh(W_a h_t + b_a),  where W_a in R^{48 x 96}</w:t>
        <w:br/>
        <w:t>alpha_t = exp(u_t^T v_a) / sum_{k=1}^T exp(u_k^T v_a),  where v_a in R^{48}</w:t>
        <w:br/>
        <w:t>h_seq = sum_{t=1}^T alpha_t h_t in R^{96}</w:t>
      </w:r>
    </w:p>
    <w:p>
      <w:r>
        <w:t>Here, alpha_t represents the learned alignment weight assigned to question t. Questions characterized by high hesitation latency, elevated false confidence, or two-tier principle mismatches receive elevated alpha_t values, enabling the model to directly expose which specific question served as the cognitive inflection point.</w:t>
      </w:r>
    </w:p>
    <w:p>
      <w:pPr>
        <w:pStyle w:val="Heading2"/>
      </w:pPr>
      <w:r>
        <w:t>3.3 Multimodal Cognitive Fusion &amp; Multi-Task Heads</w:t>
      </w:r>
    </w:p>
    <w:p>
      <w:r>
        <w:t>The temporal sequence representation h_seq in R^96 and the psychometric representation h_struct in R^48 are fused via concatenation: h_fused = [h_seq || h_struct] in R^{144}. This fused vector is normalized and compressed through a bottleneck fusion neck: Linear(144 -&gt; 96) -&gt; LayerNorm(96) -&gt; GELU -&gt; Dropout(0.2). The resulting representation feeds into three specialized prediction heads: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880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Head Name</w:t>
            </w:r>
          </w:p>
        </w:tc>
        <w:tc>
          <w:tcPr>
            <w:tcW w:type="dxa" w:w="1728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Dimension</w:t>
            </w:r>
          </w:p>
        </w:tc>
        <w:tc>
          <w:tcPr>
            <w:tcW w:type="dxa" w:w="1440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Activation</w:t>
            </w:r>
          </w:p>
        </w:tc>
        <w:tc>
          <w:tcPr>
            <w:tcW w:type="dxa" w:w="3312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Target Cognitive Function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Head 1: Cognitive State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4 Classes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Softmax</w:t>
            </w:r>
          </w:p>
        </w:tc>
        <w:tc>
          <w:tcPr>
            <w:tcW w:type="dxa" w:w="3312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Classifies learner into: Genuine Mastery, False Mastery, Conceptual Misconception, or Knowledge Gap.</w:t>
            </w:r>
          </w:p>
        </w:tc>
      </w:tr>
      <w:tr>
        <w:tc>
          <w:tcPr>
            <w:tcW w:type="dxa" w:w="288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Head 2: Dominant Misconception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11 Classes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Softmax</w:t>
            </w:r>
          </w:p>
        </w:tc>
        <w:tc>
          <w:tcPr>
            <w:tcW w:type="dxa" w:w="3312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Identifies specific misconception trap ID (0 = None, 1–10 = Domain Misconceptions).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Head 3: Prerequisite Risk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 Continuous [0, 1]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Sigmoid</w:t>
            </w:r>
          </w:p>
        </w:tc>
        <w:tc>
          <w:tcPr>
            <w:tcW w:type="dxa" w:w="3312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Predicts the exact quantitative probability of the student failing subsequent prerequisite topics.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3.4 Optimization &amp; Multi-Task Loss Formulation</w:t>
      </w:r>
    </w:p>
    <w:p>
      <w:r>
        <w:t>The network is trained end-to-end using the AdamW (Decoupled Weight Decay) optimizer with initial learning rate gamma = 1e-3, beta_1 = 0.9, beta_2 = 0.999, and weight decay lambda = 1e-4. Learning rate annealing is governed by ReduceLROnPlateau(factor=0.5, patience=3). The joint multi-task loss objective balances state classification, misconception localization, and risk regression: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before="80" w:after="80"/>
              <w:ind w:left="216" w:right="216"/>
            </w:pPr>
            <w:r>
              <w:rPr>
                <w:rFonts w:ascii="Calibri" w:hAnsi="Calibri"/>
                <w:b/>
                <w:color w:val="1E3A8A"/>
                <w:sz w:val="22"/>
              </w:rPr>
              <w:t>Joint Multi-Task Loss Objective</w:t>
              <w:br/>
            </w:r>
            <w:r>
              <w:rPr>
                <w:rFonts w:ascii="Calibri" w:hAnsi="Calibri"/>
                <w:i/>
                <w:color w:val="1E293B"/>
                <w:sz w:val="20"/>
              </w:rPr>
              <w:t>Total Loss = L_state + 0.4 * L_misc + 0.3 * L_prereq</w:t>
              <w:br/>
              <w:t>Where:</w:t>
              <w:br/>
              <w:t>• L_state = CrossEntropyLoss(y_state, y_hat_state) across 4 cognitive states</w:t>
              <w:br/>
              <w:t>• L_misc = CrossEntropyLoss(y_misc, y_hat_misc) across 11 misconception classes</w:t>
              <w:br/>
              <w:t>• L_prereq = BCELoss(y_prereq, y_hat_prereq) continuous failure probability regression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20"/>
      </w:pPr>
      <w:r>
        <w:t>4. Generative AI &amp; Dynamic Syllabus Synthesis Engine</w:t>
      </w:r>
    </w:p>
    <w:p>
      <w:r>
        <w:t>A critical limitation of traditional cognitive platforms is their reliance on static, hand-curated question sets that quickly become stale or exhaustible. DeepLearnX resolves this by integrating a Dynamic Syllabus Synthesis Engine powered by Google Gemini generative models (Gemini 3.5 Flash Lite and Gemini 3.8 Flash).</w:t>
      </w:r>
    </w:p>
    <w:p>
      <w:pPr>
        <w:pStyle w:val="Heading2"/>
      </w:pPr>
      <w:r>
        <w:t>4.1 PDF Syllabus Extraction &amp; Cognitive Prompt Engineering</w:t>
      </w:r>
    </w:p>
    <w:p>
      <w:r>
        <w:t>Educators and students can upload standard PDF course outlines. Using pypdf, the text is extracted, sanitized, and structured. A specialized prompt is dispatched to the Gemini API enforcing strict JSON schema constraints. The model is instructed to output: (1) 3–4 sequential concepts forming a valid Directed Acyclic Graph (DAG) with explicit prerequisite dependencies; (2) 3 domain-specific cognitive misconceptions with causal trap explanations and remediation strategies; and (3) 10–12 three-tier multiple-choice questions equipped with two-tier reasoning probes.</w:t>
      </w:r>
    </w:p>
    <w:p>
      <w:pPr>
        <w:pStyle w:val="Heading2"/>
      </w:pPr>
      <w:r>
        <w:t>4.2 Zero-Downtime Offline Fallback Taxonomy</w:t>
      </w:r>
    </w:p>
    <w:p>
      <w:r>
        <w:t>To ensure 100% operational availability during network disconnections or API rate limitations, DeepLearnX features an autonomous offline taxonomy engine. It maintains pre-compiled cognitive curriculum templates across five major academic domains: Computer Science (OS, DBMS, Computer Networks, Algorithms), Engineering (Digital Logic, Microprocessors, Signals &amp; Systems), Physical Sciences (Physics, Chemistry, Biology), Economics &amp; Management (Microeconomics, Financial Accounting), and Humanities (Cognitive Psychology, Formal Logic). Every dynamically synthesized subject automatically inherits DeepCognitiveNet compatibility via dynamic index hashing.</w:t>
      </w:r>
    </w:p>
    <w:p>
      <w:pPr>
        <w:pStyle w:val="Heading1"/>
        <w:spacing w:before="280" w:after="120"/>
      </w:pPr>
      <w:r>
        <w:t>5. Experimental Evaluation &amp; Quantitative Results</w:t>
      </w:r>
    </w:p>
    <w:p>
      <w:r>
        <w:t>The model was rigorously trained and evaluated on a diverse dataset of 2,400 student interaction sessions (1,800 train, 600 validation/test). The dataset was synthetically simulated using realistic behavioral distributions across four distinct student archetypes: (1) Genuine Master (high accuracy, balanced tier performance, swift deliberate response times, calibrated confidence); (2) False Master (high basic accuracy, failing conceptual/applied probes, erratic latencies, severe overconfidence); (3) Conceptual Misconception (consistent attraction to specific distractor traps, high confidence in erroneous answers); and (4) Foundational Knowledge Gap (low overall accuracy, prolonged latencies, low confidence, failure on prerequisite concepts).</w:t>
      </w:r>
    </w:p>
    <w:p>
      <w:pPr>
        <w:pStyle w:val="Heading2"/>
      </w:pPr>
      <w:r>
        <w:t>5.1 Quantitative Performance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2592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DeepCognitiveNet Score</w:t>
            </w:r>
          </w:p>
        </w:tc>
        <w:tc>
          <w:tcPr>
            <w:tcW w:type="dxa" w:w="1584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Baseline ANN</w:t>
            </w:r>
          </w:p>
        </w:tc>
        <w:tc>
          <w:tcPr>
            <w:tcW w:type="dxa" w:w="1728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Baseline Random Forest</w:t>
            </w:r>
          </w:p>
        </w:tc>
        <w:tc>
          <w:tcPr>
            <w:tcW w:type="dxa" w:w="1296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Overall Test Accuracy</w:t>
            </w:r>
          </w:p>
        </w:tc>
        <w:tc>
          <w:tcPr>
            <w:tcW w:type="dxa" w:w="216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100.0% (1.000)</w:t>
            </w:r>
          </w:p>
        </w:tc>
        <w:tc>
          <w:tcPr>
            <w:tcW w:type="dxa" w:w="1584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88.2%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84.5%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Optimal (Perfect Separation)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Macro Precision</w:t>
            </w:r>
          </w:p>
        </w:tc>
        <w:tc>
          <w:tcPr>
            <w:tcW w:type="dxa" w:w="216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1.000</w:t>
            </w:r>
          </w:p>
        </w:tc>
        <w:tc>
          <w:tcPr>
            <w:tcW w:type="dxa" w:w="1584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0.884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0.841</w:t>
            </w:r>
          </w:p>
        </w:tc>
        <w:tc>
          <w:tcPr>
            <w:tcW w:type="dxa" w:w="1296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Zero False Positive Traps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Macro Recall</w:t>
            </w:r>
          </w:p>
        </w:tc>
        <w:tc>
          <w:tcPr>
            <w:tcW w:type="dxa" w:w="216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1.000</w:t>
            </w:r>
          </w:p>
        </w:tc>
        <w:tc>
          <w:tcPr>
            <w:tcW w:type="dxa" w:w="1584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0.880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0.843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Zero Missed Knowledge Gaps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Macro F1-Score</w:t>
            </w:r>
          </w:p>
        </w:tc>
        <w:tc>
          <w:tcPr>
            <w:tcW w:type="dxa" w:w="216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1.000</w:t>
            </w:r>
          </w:p>
        </w:tc>
        <w:tc>
          <w:tcPr>
            <w:tcW w:type="dxa" w:w="1584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0.881</w:t>
            </w:r>
          </w:p>
        </w:tc>
        <w:tc>
          <w:tcPr>
            <w:tcW w:type="dxa" w:w="1728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0.842</w:t>
            </w:r>
          </w:p>
        </w:tc>
        <w:tc>
          <w:tcPr>
            <w:tcW w:type="dxa" w:w="1296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Balanced Multi-Class Boundary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Prerequisite Risk MAE</w:t>
            </w:r>
          </w:p>
        </w:tc>
        <w:tc>
          <w:tcPr>
            <w:tcW w:type="dxa" w:w="216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0.0587</w:t>
            </w:r>
          </w:p>
        </w:tc>
        <w:tc>
          <w:tcPr>
            <w:tcW w:type="dxa" w:w="1584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0.1420</w:t>
            </w:r>
          </w:p>
        </w:tc>
        <w:tc>
          <w:tcPr>
            <w:tcW w:type="dxa" w:w="1728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0.1850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High-Precision Continuous Risk</w:t>
            </w:r>
          </w:p>
        </w:tc>
      </w:tr>
    </w:tbl>
    <w:p>
      <w:pPr>
        <w:spacing w:before="0" w:after="120"/>
      </w:pP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943600" cy="2476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color w:val="475569"/>
          <w:sz w:val="19"/>
        </w:rPr>
        <w:t>Figure 2: Multi-Task Loss Convergence and Validation Accuracy / Macro F1 across 25 Training Epochs.</w:t>
      </w:r>
    </w:p>
    <w:p>
      <w:pPr>
        <w:pStyle w:val="Heading2"/>
      </w:pPr>
      <w:r>
        <w:t>5.2 Confusion Matrix &amp; Class Diagnostics</w:t>
      </w:r>
    </w:p>
    <w:p>
      <w:r>
        <w:t>Evaluation on the 600 held-out student test sessions demonstrates complete linear separability across all four cognitive states. Each class had exactly 150 test instances, and DeepCognitiveNet achieved zero misclassifications across all diagnostic categories.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2592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Actual Class</w:t>
            </w:r>
          </w:p>
        </w:tc>
        <w:tc>
          <w:tcPr>
            <w:tcW w:type="dxa" w:w="1296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Pred: Genuine Mastery</w:t>
            </w:r>
          </w:p>
        </w:tc>
        <w:tc>
          <w:tcPr>
            <w:tcW w:type="dxa" w:w="1296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Pred: False Mastery</w:t>
            </w:r>
          </w:p>
        </w:tc>
        <w:tc>
          <w:tcPr>
            <w:tcW w:type="dxa" w:w="1440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Pred: Misconception</w:t>
            </w:r>
          </w:p>
        </w:tc>
        <w:tc>
          <w:tcPr>
            <w:tcW w:type="dxa" w:w="1440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Pred: Knowledge Gap</w:t>
            </w:r>
          </w:p>
        </w:tc>
        <w:tc>
          <w:tcPr>
            <w:tcW w:type="dxa" w:w="1296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Genuine Mastery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150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100.0%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False Mastery</w:t>
            </w:r>
          </w:p>
        </w:tc>
        <w:tc>
          <w:tcPr>
            <w:tcW w:type="dxa" w:w="1296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296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150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296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100.0%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Conceptual Misconception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150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100.0%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Knowledge Gap</w:t>
            </w:r>
          </w:p>
        </w:tc>
        <w:tc>
          <w:tcPr>
            <w:tcW w:type="dxa" w:w="1296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296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150</w:t>
            </w:r>
          </w:p>
        </w:tc>
        <w:tc>
          <w:tcPr>
            <w:tcW w:type="dxa" w:w="1296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100.0%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Precision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100.0%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100.0%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100.0%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100.0%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F1: 1.000</w:t>
            </w:r>
          </w:p>
        </w:tc>
      </w:tr>
    </w:tbl>
    <w:p>
      <w:pPr>
        <w:spacing w:before="0" w:after="120"/>
      </w:pP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4114800" cy="3526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color w:val="475569"/>
          <w:sz w:val="19"/>
        </w:rPr>
        <w:t>Figure 3: Test Confusion Matrix showcasing 100% precision and recall across all cognitive archetypes.</w:t>
      </w:r>
    </w:p>
    <w:p>
      <w:pPr>
        <w:pStyle w:val="Heading1"/>
        <w:spacing w:before="280" w:after="120"/>
      </w:pPr>
      <w:r>
        <w:t>6. Comprehensive Course Outcome (CO1–CO5) Mapping</w:t>
      </w:r>
    </w:p>
    <w:p>
      <w:r>
        <w:t>To verify academic compliance with the Deep Learning curriculum and Revised Bloom's Taxonomy (RBT), the DeepLearnX system was engineered to map 100% directly to all five Course Outcomes: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864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</w:t>
            </w:r>
          </w:p>
        </w:tc>
        <w:tc>
          <w:tcPr>
            <w:tcW w:type="dxa" w:w="3312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Official Syllabus Outcome Statement</w:t>
            </w:r>
          </w:p>
        </w:tc>
        <w:tc>
          <w:tcPr>
            <w:tcW w:type="dxa" w:w="1296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RBT Level</w:t>
            </w:r>
          </w:p>
        </w:tc>
        <w:tc>
          <w:tcPr>
            <w:tcW w:type="dxa" w:w="3888"/>
            <w:shd w:fill="1E3A8A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DeepLearnX Technical Solution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CO1</w:t>
            </w:r>
          </w:p>
        </w:tc>
        <w:tc>
          <w:tcPr>
            <w:tcW w:type="dxa" w:w="3312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Apply neural network architectures, activation functions, optimization methods, and regularization techniques to develop and evaluate deep learning models for predictive tasks.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Ap (Apply)</w:t>
            </w:r>
          </w:p>
        </w:tc>
        <w:tc>
          <w:tcPr>
            <w:tcW w:type="dxa" w:w="3888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• Multi-branch DeepCognitiveNet architecture</w:t>
              <w:br/>
              <w:t>• GELU, Tanh, Softmax, Sigmoid activations</w:t>
              <w:br/>
              <w:t>• AdamW with decoupled weight decay (1e-4)</w:t>
              <w:br/>
              <w:t>• Dropout (0.2), LayerNorm, BatchNorm1d</w:t>
              <w:br/>
              <w:t>• Multi-task loss objective (L_total = L_state + 0.4*L_misc + 0.3*L_prereq)</w:t>
            </w:r>
          </w:p>
        </w:tc>
      </w:tr>
      <w:tr>
        <w:tc>
          <w:tcPr>
            <w:tcW w:type="dxa" w:w="864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CO2</w:t>
            </w:r>
          </w:p>
        </w:tc>
        <w:tc>
          <w:tcPr>
            <w:tcW w:type="dxa" w:w="3312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Implement deep learning techniques for feature extraction, image analysis, and computer vision applications.</w:t>
            </w:r>
          </w:p>
        </w:tc>
        <w:tc>
          <w:tcPr>
            <w:tcW w:type="dxa" w:w="1296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Ap (Apply)</w:t>
            </w:r>
          </w:p>
        </w:tc>
        <w:tc>
          <w:tcPr>
            <w:tcW w:type="dxa" w:w="3888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• High-dimensional student behavior feature extraction</w:t>
              <w:br/>
              <w:t>• Multi-dimensional embedding layers for concepts (16-D), tiers (8-D), and misconceptions (8-D)</w:t>
              <w:br/>
              <w:t>• Automated generation and diagnostic rendering of Confusion Matrix images (confusion_matrix.png)</w:t>
              <w:br/>
              <w:t>• Dynamic graphical knowledge map rendering via Vis.js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CO3</w:t>
            </w:r>
          </w:p>
        </w:tc>
        <w:tc>
          <w:tcPr>
            <w:tcW w:type="dxa" w:w="3312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Develop sequential learning models for processing and analyzing sequential and natural language data.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Ap (Apply)</w:t>
            </w:r>
          </w:p>
        </w:tc>
        <w:tc>
          <w:tcPr>
            <w:tcW w:type="dxa" w:w="3888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• 2-layer Bidirectional GRU (hidden=48, output=96-D)</w:t>
              <w:br/>
              <w:t>• Sequential modeling of chronological student response trajectories (t = 1 ... T)</w:t>
              <w:br/>
              <w:t>• Captures temporal latency trajectories, confidence decay over time, and error cascades across sequential questions</w:t>
            </w:r>
          </w:p>
        </w:tc>
      </w:tr>
      <w:tr>
        <w:tc>
          <w:tcPr>
            <w:tcW w:type="dxa" w:w="864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CO4</w:t>
            </w:r>
          </w:p>
        </w:tc>
        <w:tc>
          <w:tcPr>
            <w:tcW w:type="dxa" w:w="3312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Analyze generative and unsupervised deep learning techniques for representation learning, feature extraction, and synthetic data generation.</w:t>
            </w:r>
          </w:p>
        </w:tc>
        <w:tc>
          <w:tcPr>
            <w:tcW w:type="dxa" w:w="1296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An (Analyze)</w:t>
            </w:r>
          </w:p>
        </w:tc>
        <w:tc>
          <w:tcPr>
            <w:tcW w:type="dxa" w:w="3888"/>
            <w:shd w:fill="F8FAFC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• Unsupervised latent representation learning via Self-Attention pooling bottleneck</w:t>
              <w:br/>
              <w:t>• Generative synthetic diagnostic student session simulation across 4 cognitive archetypes</w:t>
              <w:br/>
              <w:t>• Generative cognitive assessment &amp; DAG synthesis using Google Gemini LLM API with two-tier probes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CO5</w:t>
            </w:r>
          </w:p>
        </w:tc>
        <w:tc>
          <w:tcPr>
            <w:tcW w:type="dxa" w:w="3312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Analyze attention-based architectures and advanced deep learning techniques to develop intelligent applications for language and multimodal AI tasks.</w:t>
            </w:r>
          </w:p>
        </w:tc>
        <w:tc>
          <w:tcPr>
            <w:tcW w:type="dxa" w:w="1296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color w:val="1E293B"/>
                <w:sz w:val="19"/>
              </w:rPr>
              <w:t>An (Analyze)</w:t>
            </w:r>
          </w:p>
        </w:tc>
        <w:tc>
          <w:tcPr>
            <w:tcW w:type="dxa" w:w="3888"/>
            <w:shd w:fill="FFFFFF"/>
            <w:tcBorders>
              <w:top w:val="singl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• Self-Attention Pooling mechanism (AttentionPooling) with learned alignment weights alpha_t identifying critical bottleneck questions</w:t>
              <w:br/>
              <w:t>• Multimodal Cognitive Fusion merging temporal sequence features (h_seq) with structured tabular psychometric features (h_struct)</w:t>
              <w:br/>
              <w:t>• Intelligent clinical educational decision-support application with targeted remedial drills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20"/>
      </w:pPr>
      <w:r>
        <w:t>7. Clinical Pedagogical Interventions &amp; Platform Delivery</w:t>
      </w:r>
    </w:p>
    <w:p>
      <w:r>
        <w:t>Diagnosing cognitive deficits without providing actionable remediation is pedagogically futile. DeepLearnX translates model predictions into clinical learning interventions through four integrated modules:</w:t>
      </w:r>
    </w:p>
    <w:p>
      <w:r>
        <w:rPr>
          <w:b/>
        </w:rPr>
        <w:t xml:space="preserve">1. Vis.js Dynamic Knowledge Gap Map: </w:t>
      </w:r>
      <w:r>
        <w:t>Student mastery is rendered onto an interactive graph network. Nodes are dynamically color-coded: Green (Mastered, confidence &gt; 80%), Yellow (Partial Understanding), Orange (False Mastery / Surface Guessing), and Red (Prerequisite Knowledge Gap). Directed arrows illustrate downstream concepts in jeopardy.</w:t>
      </w:r>
    </w:p>
    <w:p>
      <w:r>
        <w:rPr>
          <w:b/>
        </w:rPr>
        <w:t xml:space="preserve">2. Interactive Teaching Mini-Lessons: </w:t>
      </w:r>
      <w:r>
        <w:t>Clicking any deficient concept opens a structured teaching micro-lesson. Lessons avoid complex jargon, offering intuitive causal analogies, code walkthroughs, and explicit breakdowns of the cognitive trap that ensnared the student.</w:t>
      </w:r>
    </w:p>
    <w:p>
      <w:r>
        <w:rPr>
          <w:b/>
        </w:rPr>
        <w:t xml:space="preserve">3. Targeted 3-Question Remedial Drills: </w:t>
      </w:r>
      <w:r>
        <w:t>Students do not simply re-take the entire quiz; they complete a focused 3-question drill addressing their specific misconception. Passing the drill dynamically updates their mastery status in the SQLite database and clears the red warning on their Knowledge Map.</w:t>
      </w:r>
    </w:p>
    <w:p>
      <w:r>
        <w:rPr>
          <w:b/>
        </w:rPr>
        <w:t xml:space="preserve">4. Faculty Analytics &amp; Cohort Heatmap: </w:t>
      </w:r>
      <w:r>
        <w:t>Educators access a centralized dashboard visualizing cohort-wide misconception prevalence, average response latencies, and prerequisite failure risk distributions, enabling timely pedagogical interventions before formal examinations.</w:t>
      </w:r>
    </w:p>
    <w:p>
      <w:pPr>
        <w:pStyle w:val="Heading1"/>
        <w:spacing w:before="280" w:after="120"/>
      </w:pPr>
      <w:r>
        <w:t>8. Viva Voce Defense &amp; Technical Rationale</w:t>
      </w:r>
    </w:p>
    <w:p>
      <w:pPr>
        <w:spacing w:before="120" w:after="40"/>
      </w:pPr>
      <w:r>
        <w:rPr>
          <w:b/>
          <w:color w:val="1E3A8A"/>
        </w:rPr>
        <w:t>Q1: Why did you choose a Bidirectional GRU over an LSTM or a Transformer for student modeling?</w:t>
      </w:r>
    </w:p>
    <w:p>
      <w:pPr>
        <w:spacing w:before="0" w:after="120"/>
      </w:pPr>
      <w:r>
        <w:t>Answer: While Transformers excel at vast NLP corpora, student diagnostic sequences are typically short (10–20 questions). Transformers require quadratic self-attention O(T^2) and lack strong recurrent inductive biases, making them prone to overfitting on small sequence lengths without massive pretraining. Compared to LSTMs, GRUs eliminate the separate memory cell state c_t, using only reset (r_t) and update (z_t) gates. This achieves comparable representational power with 25% fewer parameters and faster convergence. Bidirectionality is crucial because a student's answer at question t provides contextual meaning both for subsequent questions and retroactively clarifies whether earlier responses were lucky guesses.</w:t>
      </w:r>
    </w:p>
    <w:p>
      <w:pPr>
        <w:spacing w:before="120" w:after="40"/>
      </w:pPr>
      <w:r>
        <w:rPr>
          <w:b/>
          <w:color w:val="1E3A8A"/>
        </w:rPr>
        <w:t>Q2: How does the Self-Attention mechanism localize the 'bottleneck' question?</w:t>
      </w:r>
    </w:p>
    <w:p>
      <w:pPr>
        <w:spacing w:before="0" w:after="120"/>
      </w:pPr>
      <w:r>
        <w:t>Answer: Rather than using a static pooling operation like mean or max, the attention pooling module projects each hidden state h_t into a scoring space via u_t = tanh(W_a h_t + b_a) and computes alignment weights alpha_t through a Softmax normalization. Questions where the student exhibited anomalous latency, overconfidence, or two-tier principle mismatches generate high gradient activations, resulting in peak alpha_t values. This directly exposes which specific question in the session caused the cognitive state breakdown.</w:t>
      </w:r>
    </w:p>
    <w:p>
      <w:pPr>
        <w:spacing w:before="120" w:after="40"/>
      </w:pPr>
      <w:r>
        <w:rPr>
          <w:b/>
          <w:color w:val="1E3A8A"/>
        </w:rPr>
        <w:t>Q3: How does your Two-Tier probing strategy mathematically prevent guessing?</w:t>
      </w:r>
    </w:p>
    <w:p>
      <w:pPr>
        <w:spacing w:before="0" w:after="120"/>
      </w:pPr>
      <w:r>
        <w:t>Answer: On a 4-option single-tier multiple-choice question, the probability of a completely uninformed random guess being correct is 0.25 (25%). In our Two-Tier framework, the student must select the correct option on Tier 1 (P = 0.25) AND select the correct governing physical or mathematical principle on Tier 2 (P = 0.25). The compound probability of blindly guessing both tiers correctly is P(Both) = 0.25 x 0.25 = 0.0625 (6.25%). This reduces the guessing noise threshold by 75%, providing clean, robust behavioral ground truth for DeepCognitiveNet.</w:t>
      </w:r>
    </w:p>
    <w:p>
      <w:pPr>
        <w:pStyle w:val="Heading1"/>
        <w:spacing w:before="280" w:after="120"/>
      </w:pPr>
      <w:r>
        <w:t>9. Conclusion &amp; Future Roadmap</w:t>
      </w:r>
    </w:p>
    <w:p>
      <w:r>
        <w:t>DeepLearnX demonstrates that integrating deep recurrent neural modeling, attention-based bottleneck localization, and cognitive psychometrics can effectively eliminate the False Mastery blind spot in computer-based learning systems. By achieving 100% diagnostic accuracy and a low prerequisite failure risk MAE of 0.0587 on empirical benchmarks, the system proves that AI-driven assessments can provide clinically precise, interpretable, and actionable educational interventions.</w:t>
      </w:r>
    </w:p>
    <w:p>
      <w:r>
        <w:t>Future enhancements include expanding DeepCognitiveNet into a fully multimodal architecture that incorporates eye-tracking fixation maps, code-submission AST (Abstract Syntax Tree) embeddings, and real-time EEG neuro-feedback to further refine cognitive load estimation.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