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Charter: Inventory Tracking Pilot</w:t>
      </w:r>
    </w:p>
    <w:p>
      <w:pPr>
        <w:pStyle w:val="Heading1"/>
      </w:pPr>
      <w:r>
        <w:t>1. Background</w:t>
      </w:r>
    </w:p>
    <w:p>
      <w:r>
        <w:t>This charter authorises a pilot of the new inventory tracking system.</w:t>
      </w:r>
    </w:p>
    <w:p>
      <w:pPr>
        <w:pStyle w:val="Heading1"/>
      </w:pPr>
      <w:r>
        <w:t>2. Scope</w:t>
      </w:r>
    </w:p>
    <w:p>
      <w:r>
        <w:t>The pilot covers the Rotterdam warehouse only. Other sites are explicitly out of scope for this phase.</w:t>
      </w:r>
    </w:p>
    <w:p>
      <w:pPr>
        <w:pStyle w:val="Heading1"/>
      </w:pPr>
      <w:r>
        <w:t>3. Timeline</w:t>
      </w:r>
    </w:p>
    <w:p>
      <w:r>
        <w:t>Go-live for the Rotterdam warehouse is targeted for the first week of November, assuming the scope in section 2 holds.</w:t>
      </w:r>
    </w:p>
    <w:p>
      <w:pPr>
        <w:pStyle w:val="Heading1"/>
      </w:pPr>
      <w:r>
        <w:t>4. Training</w:t>
      </w:r>
    </w:p>
    <w:p>
      <w:r>
        <w:t>The Rotterdam warehouse operations team will receive training in the two weeks before go-live. No other site's staff are scheduled.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