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87606A1" w14:textId="3950DAFC" w:rsidR="00533144" w:rsidRDefault="005512E2" w:rsidP="005A39D8">
      <w:pPr>
        <w:autoSpaceDE w:val="0"/>
        <w:autoSpaceDN w:val="0"/>
        <w:adjustRightInd w:val="0"/>
        <w:spacing w:after="0" w:line="240" w:lineRule="auto"/>
        <w:jc w:val="center"/>
        <w:rPr>
          <w:b/>
        </w:rPr>
      </w:pPr>
      <w:r>
        <w:rPr>
          <w:b/>
        </w:rPr>
        <w:t xml:space="preserve">Irrigation costs and crop production: </w:t>
      </w:r>
      <w:r w:rsidR="00AA0064">
        <w:rPr>
          <w:b/>
        </w:rPr>
        <w:t xml:space="preserve">Integrated assessment of increasing irrigation costs on land-use change and crop cultivation in India </w:t>
      </w:r>
      <w:r>
        <w:rPr>
          <w:b/>
        </w:rPr>
        <w:t>using partial equilibrium modelling</w:t>
      </w:r>
    </w:p>
    <w:p w14:paraId="6DEDC139" w14:textId="551A9314" w:rsidR="005A39D8" w:rsidRDefault="005A39D8" w:rsidP="005A39D8">
      <w:pPr>
        <w:autoSpaceDE w:val="0"/>
        <w:autoSpaceDN w:val="0"/>
        <w:adjustRightInd w:val="0"/>
        <w:spacing w:after="0" w:line="240" w:lineRule="auto"/>
        <w:jc w:val="center"/>
        <w:rPr>
          <w:b/>
        </w:rPr>
      </w:pPr>
    </w:p>
    <w:p w14:paraId="77894B57" w14:textId="34338916" w:rsidR="005A39D8" w:rsidRPr="005A39D8" w:rsidRDefault="005A39D8" w:rsidP="005A39D8">
      <w:pPr>
        <w:autoSpaceDE w:val="0"/>
        <w:autoSpaceDN w:val="0"/>
        <w:adjustRightInd w:val="0"/>
        <w:spacing w:after="0" w:line="240" w:lineRule="auto"/>
        <w:jc w:val="center"/>
      </w:pPr>
    </w:p>
    <w:p w14:paraId="6577EB57" w14:textId="77777777" w:rsidR="005A39D8" w:rsidRPr="00533144" w:rsidRDefault="005A39D8" w:rsidP="005A39D8">
      <w:pPr>
        <w:autoSpaceDE w:val="0"/>
        <w:autoSpaceDN w:val="0"/>
        <w:adjustRightInd w:val="0"/>
        <w:spacing w:after="0" w:line="240" w:lineRule="auto"/>
        <w:jc w:val="center"/>
        <w:rPr>
          <w:b/>
        </w:rPr>
      </w:pPr>
    </w:p>
    <w:p w14:paraId="32E900EB" w14:textId="77777777" w:rsidR="00533144" w:rsidRDefault="00533144" w:rsidP="001149C6">
      <w:pPr>
        <w:autoSpaceDE w:val="0"/>
        <w:autoSpaceDN w:val="0"/>
        <w:adjustRightInd w:val="0"/>
        <w:spacing w:after="0" w:line="240" w:lineRule="auto"/>
      </w:pPr>
    </w:p>
    <w:p w14:paraId="2FD4F437" w14:textId="70380098" w:rsidR="002776E5" w:rsidRDefault="002776E5" w:rsidP="001149C6">
      <w:pPr>
        <w:autoSpaceDE w:val="0"/>
        <w:autoSpaceDN w:val="0"/>
        <w:adjustRightInd w:val="0"/>
        <w:spacing w:after="0" w:line="240" w:lineRule="auto"/>
        <w:rPr>
          <w:b/>
        </w:rPr>
      </w:pPr>
      <w:r w:rsidRPr="002776E5">
        <w:rPr>
          <w:b/>
        </w:rPr>
        <w:t xml:space="preserve">Introduction </w:t>
      </w:r>
    </w:p>
    <w:p w14:paraId="2F7BBEBB" w14:textId="77777777" w:rsidR="005A39D8" w:rsidRPr="002776E5" w:rsidRDefault="005A39D8" w:rsidP="001149C6">
      <w:pPr>
        <w:autoSpaceDE w:val="0"/>
        <w:autoSpaceDN w:val="0"/>
        <w:adjustRightInd w:val="0"/>
        <w:spacing w:after="0" w:line="240" w:lineRule="auto"/>
        <w:rPr>
          <w:b/>
        </w:rPr>
      </w:pPr>
    </w:p>
    <w:p w14:paraId="1AEEA92A" w14:textId="097A9508" w:rsidR="00463562" w:rsidRPr="00740F25" w:rsidRDefault="00463562" w:rsidP="00463562">
      <w:pPr>
        <w:autoSpaceDE w:val="0"/>
        <w:autoSpaceDN w:val="0"/>
        <w:adjustRightInd w:val="0"/>
        <w:spacing w:after="0" w:line="240" w:lineRule="auto"/>
      </w:pPr>
      <w:r>
        <w:t>Food production in the world depends on water to a large extent, particularly groundwater. Millions o</w:t>
      </w:r>
      <w:r w:rsidR="00263F11">
        <w:t>f</w:t>
      </w:r>
      <w:r>
        <w:t xml:space="preserve"> farmers in the world use irrigation to cultivate major crops, particularly rice and wheat</w:t>
      </w:r>
      <w:r w:rsidR="0050794B">
        <w:t xml:space="preserve"> </w:t>
      </w:r>
      <w:r w:rsidR="0050794B">
        <w:fldChar w:fldCharType="begin"/>
      </w:r>
      <w:r w:rsidR="0050794B">
        <w:instrText xml:space="preserve"> ADDIN ZOTERO_ITEM CSL_CITATION {"citationID":"121QWJE7","properties":{"formattedCitation":"(Dalin et al., 2017)","plainCitation":"(Dalin et al., 2017)","noteIndex":0},"citationItems":[{"id":305,"uris":["http://zotero.org/users/local/LupjHtya/items/YUZWTDPU"],"uri":["http://zotero.org/users/local/LupjHtya/items/YUZWTDPU"],"itemData":{"id":305,"type":"article-journal","container-title":"Nature","ISSN":"1476-4687","issue":"7647","journalAbbreviation":"Nature","note":"publisher: Nature Publishing Group","page":"700-704","title":"Groundwater depletion embedded in international food trade","volume":"543","author":[{"family":"Dalin","given":"Carole"},{"family":"Wada","given":"Yoshihide"},{"family":"Kastner","given":"Thomas"},{"family":"Puma","given":"Michael J"}],"issued":{"date-parts":[["2017"]]}}}],"schema":"https://github.com/citation-style-language/schema/raw/master/csl-citation.json"} </w:instrText>
      </w:r>
      <w:r w:rsidR="0050794B">
        <w:fldChar w:fldCharType="separate"/>
      </w:r>
      <w:r w:rsidR="0050794B" w:rsidRPr="0050794B">
        <w:rPr>
          <w:rFonts w:ascii="Calibri" w:hAnsi="Calibri" w:cs="Calibri"/>
        </w:rPr>
        <w:t>(Dalin et al., 2017)</w:t>
      </w:r>
      <w:r w:rsidR="0050794B">
        <w:fldChar w:fldCharType="end"/>
      </w:r>
      <w:r>
        <w:t xml:space="preserve">. </w:t>
      </w:r>
      <w:r w:rsidRPr="00740F25">
        <w:t>India is the largest consumer</w:t>
      </w:r>
      <w:r>
        <w:t xml:space="preserve"> </w:t>
      </w:r>
      <w:r w:rsidRPr="00740F25">
        <w:t>of freshwater (ground and surface water) globally, 91% of which</w:t>
      </w:r>
    </w:p>
    <w:p w14:paraId="6424E99F" w14:textId="664D819D" w:rsidR="005453B5" w:rsidRDefault="00463562" w:rsidP="00463562">
      <w:pPr>
        <w:autoSpaceDE w:val="0"/>
        <w:autoSpaceDN w:val="0"/>
        <w:adjustRightInd w:val="0"/>
        <w:spacing w:after="0" w:line="240" w:lineRule="auto"/>
      </w:pPr>
      <w:r w:rsidRPr="00740F25">
        <w:t>is withdrawn for food production (FAO, 2016).</w:t>
      </w:r>
      <w:r w:rsidR="005453B5">
        <w:t xml:space="preserve"> Figure 1 below demonstrates India as an outlier in excessive groundwater extraction </w:t>
      </w:r>
      <w:r w:rsidR="005453B5">
        <w:fldChar w:fldCharType="begin"/>
      </w:r>
      <w:r w:rsidR="005453B5">
        <w:instrText xml:space="preserve"> ADDIN ZOTERO_ITEM CSL_CITATION {"citationID":"GPvK3zZL","properties":{"formattedCitation":"(Aeschbach-Hertig &amp; Gleeson, 2012)","plainCitation":"(Aeschbach-Hertig &amp; Gleeson, 2012)","noteIndex":0},"citationItems":[{"id":325,"uris":["http://zotero.org/users/local/LupjHtya/items/2AMYY59G"],"uri":["http://zotero.org/users/local/LupjHtya/items/2AMYY59G"],"itemData":{"id":325,"type":"article-journal","container-title":"Nature Geoscience","ISSN":"1752-0908","issue":"12","journalAbbreviation":"Nature Geoscience","note":"publisher: Nature Publishing Group","page":"853-861","title":"Regional strategies for the accelerating global problem of groundwater depletion","volume":"5","author":[{"family":"Aeschbach-Hertig","given":"Werner"},{"family":"Gleeson","given":"Tom"}],"issued":{"date-parts":[["2012"]]}}}],"schema":"https://github.com/citation-style-language/schema/raw/master/csl-citation.json"} </w:instrText>
      </w:r>
      <w:r w:rsidR="005453B5">
        <w:fldChar w:fldCharType="separate"/>
      </w:r>
      <w:r w:rsidR="005453B5" w:rsidRPr="005453B5">
        <w:rPr>
          <w:rFonts w:ascii="Calibri" w:hAnsi="Calibri" w:cs="Calibri"/>
        </w:rPr>
        <w:t>(Aeschbach-Hertig &amp; Gleeson, 2012)</w:t>
      </w:r>
      <w:r w:rsidR="005453B5">
        <w:fldChar w:fldCharType="end"/>
      </w:r>
      <w:r w:rsidR="005A4A2A">
        <w:t>.</w:t>
      </w:r>
    </w:p>
    <w:p w14:paraId="24A9EEDE" w14:textId="77777777" w:rsidR="005453B5" w:rsidRDefault="005453B5" w:rsidP="00463562">
      <w:pPr>
        <w:autoSpaceDE w:val="0"/>
        <w:autoSpaceDN w:val="0"/>
        <w:adjustRightInd w:val="0"/>
        <w:spacing w:after="0" w:line="240" w:lineRule="auto"/>
      </w:pPr>
    </w:p>
    <w:p w14:paraId="7C59E84B" w14:textId="46C6BD07" w:rsidR="005453B5" w:rsidRDefault="005453B5" w:rsidP="00463562">
      <w:pPr>
        <w:autoSpaceDE w:val="0"/>
        <w:autoSpaceDN w:val="0"/>
        <w:adjustRightInd w:val="0"/>
        <w:spacing w:after="0" w:line="240" w:lineRule="auto"/>
      </w:pPr>
      <w:r>
        <w:rPr>
          <w:noProof/>
        </w:rPr>
        <w:drawing>
          <wp:inline distT="0" distB="0" distL="0" distR="0" wp14:anchorId="514E935A" wp14:editId="4E952EA5">
            <wp:extent cx="3926840" cy="2810879"/>
            <wp:effectExtent l="19050" t="19050" r="16510" b="279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936542" cy="2817823"/>
                    </a:xfrm>
                    <a:prstGeom prst="rect">
                      <a:avLst/>
                    </a:prstGeom>
                    <a:ln>
                      <a:solidFill>
                        <a:schemeClr val="tx1"/>
                      </a:solidFill>
                    </a:ln>
                  </pic:spPr>
                </pic:pic>
              </a:graphicData>
            </a:graphic>
          </wp:inline>
        </w:drawing>
      </w:r>
    </w:p>
    <w:p w14:paraId="246C09DB" w14:textId="594071CA" w:rsidR="005453B5" w:rsidRDefault="005453B5" w:rsidP="00463562">
      <w:pPr>
        <w:autoSpaceDE w:val="0"/>
        <w:autoSpaceDN w:val="0"/>
        <w:adjustRightInd w:val="0"/>
        <w:spacing w:after="0" w:line="240" w:lineRule="auto"/>
      </w:pPr>
      <w:r>
        <w:br/>
        <w:t xml:space="preserve">Figure 1: Intensive use of groundwater </w:t>
      </w:r>
      <w:r>
        <w:fldChar w:fldCharType="begin"/>
      </w:r>
      <w:r>
        <w:instrText xml:space="preserve"> ADDIN ZOTERO_ITEM CSL_CITATION {"citationID":"9zI2Ej1x","properties":{"formattedCitation":"(Aeschbach-Hertig &amp; Gleeson, 2012)","plainCitation":"(Aeschbach-Hertig &amp; Gleeson, 2012)","noteIndex":0},"citationItems":[{"id":325,"uris":["http://zotero.org/users/local/LupjHtya/items/2AMYY59G"],"uri":["http://zotero.org/users/local/LupjHtya/items/2AMYY59G"],"itemData":{"id":325,"type":"article-journal","container-title":"Nature Geoscience","ISSN":"1752-0908","issue":"12","journalAbbreviation":"Nature Geoscience","note":"publisher: Nature Publishing Group","page":"853-861","title":"Regional strategies for the accelerating global problem of groundwater depletion","volume":"5","author":[{"family":"Aeschbach-Hertig","given":"Werner"},{"family":"Gleeson","given":"Tom"}],"issued":{"date-parts":[["2012"]]}}}],"schema":"https://github.com/citation-style-language/schema/raw/master/csl-citation.json"} </w:instrText>
      </w:r>
      <w:r>
        <w:fldChar w:fldCharType="separate"/>
      </w:r>
      <w:r w:rsidRPr="005453B5">
        <w:rPr>
          <w:rFonts w:ascii="Calibri" w:hAnsi="Calibri" w:cs="Calibri"/>
        </w:rPr>
        <w:t>(Aeschbach-Hertig &amp; Gleeson, 2012)</w:t>
      </w:r>
      <w:r>
        <w:fldChar w:fldCharType="end"/>
      </w:r>
    </w:p>
    <w:p w14:paraId="02347102" w14:textId="77777777" w:rsidR="005453B5" w:rsidRDefault="00463562" w:rsidP="00463562">
      <w:pPr>
        <w:autoSpaceDE w:val="0"/>
        <w:autoSpaceDN w:val="0"/>
        <w:adjustRightInd w:val="0"/>
        <w:spacing w:after="0" w:line="240" w:lineRule="auto"/>
      </w:pPr>
      <w:r w:rsidRPr="00740F25">
        <w:t xml:space="preserve"> </w:t>
      </w:r>
    </w:p>
    <w:p w14:paraId="1A20BFD1" w14:textId="1BDE919C" w:rsidR="005A39D8" w:rsidRDefault="00463562" w:rsidP="00463562">
      <w:pPr>
        <w:autoSpaceDE w:val="0"/>
        <w:autoSpaceDN w:val="0"/>
        <w:adjustRightInd w:val="0"/>
        <w:spacing w:after="0" w:line="240" w:lineRule="auto"/>
      </w:pPr>
      <w:r>
        <w:t>Excessive groundwater consumption for India is focused on cereal production with wheat and rice production consuming 80.6% of total agricultural water use</w:t>
      </w:r>
      <w:r w:rsidR="0050794B">
        <w:t xml:space="preserve"> </w:t>
      </w:r>
      <w:r w:rsidR="0050794B">
        <w:fldChar w:fldCharType="begin"/>
      </w:r>
      <w:r w:rsidR="0050794B">
        <w:instrText xml:space="preserve"> ADDIN ZOTERO_ITEM CSL_CITATION {"citationID":"XhgzzEaM","properties":{"formattedCitation":"(Jain et al., 2017; Kayatz et al., 2019)","plainCitation":"(Jain et al., 2017; Kayatz et al., 2019)","noteIndex":0},"citationItems":[{"id":251,"uris":["http://zotero.org/users/local/LupjHtya/items/8AFGR96X"],"uri":["http://zotero.org/users/local/LupjHtya/items/8AFGR96X"],"itemData":{"id":251,"type":"article-journal","container-title":"Environmental Research Letters","issue":"9","note":"publisher: IOP Publishing","page":"094011-094011","title":"Using satellite data to identify the causes of and potential solutions for yield gaps in India’s Wheat Belt","volume":"12","author":[{"family":"Jain","given":"Meha"},{"family":"Singh","given":"Balwinder"},{"family":"Srivastava","given":"A A K"},{"family":"Malik","given":"Ram K"},{"family":"McDonald","given":"A J"},{"family":"Lobell","given":"David B"}],"issued":{"date-parts":[["2017"]]}}},{"id":310,"uris":["http://zotero.org/users/local/LupjHtya/items/SE6SIYZQ"],"uri":["http://zotero.org/users/local/LupjHtya/items/SE6SIYZQ"],"itemData":{"id":310,"type":"article-journal","container-title":"Science of the total environment","ISSN":"0048-9697","journalAbbreviation":"Science of the total environment","note":"publisher: Elsevier","page":"207-217","title":"“More crop per drop”: Exploring India's cereal water use since 2005","volume":"673","author":[{"family":"Kayatz","given":"Benjamin"},{"family":"Harris","given":"Francesca"},{"family":"Hillier","given":"Jon"},{"family":"Adhya","given":"Tapan"},{"family":"Dalin","given":"Carole"},{"family":"Nayak","given":"Dali"},{"family":"Green","given":"Rosemary F"},{"family":"Smith","given":"Pete"},{"family":"Dangour","given":"Alan D"}],"issued":{"date-parts":[["2019"]]}}}],"schema":"https://github.com/citation-style-language/schema/raw/master/csl-citation.json"} </w:instrText>
      </w:r>
      <w:r w:rsidR="0050794B">
        <w:fldChar w:fldCharType="separate"/>
      </w:r>
      <w:r w:rsidR="0050794B" w:rsidRPr="0050794B">
        <w:rPr>
          <w:rFonts w:ascii="Calibri" w:hAnsi="Calibri" w:cs="Calibri"/>
        </w:rPr>
        <w:t>(Jain et al., 2017; Kayatz et al., 2019)</w:t>
      </w:r>
      <w:r w:rsidR="0050794B">
        <w:fldChar w:fldCharType="end"/>
      </w:r>
      <w:r>
        <w:t>.</w:t>
      </w:r>
      <w:r w:rsidR="00B00B1A">
        <w:t xml:space="preserve"> </w:t>
      </w:r>
      <w:r w:rsidR="005A4A2A">
        <w:t xml:space="preserve">While rice has always been a water-intensive crop, wheat has witnessed an increase in water usage over the last few years. </w:t>
      </w:r>
      <w:r w:rsidR="005A39D8">
        <w:t xml:space="preserve">Figure </w:t>
      </w:r>
      <w:r w:rsidR="005453B5">
        <w:t>2</w:t>
      </w:r>
      <w:r w:rsidR="005A39D8">
        <w:t xml:space="preserve"> below depicts the continuously increasing </w:t>
      </w:r>
      <w:r w:rsidR="00820B2A">
        <w:t xml:space="preserve">area </w:t>
      </w:r>
      <w:r w:rsidR="00263F11">
        <w:t>particularly under</w:t>
      </w:r>
      <w:r w:rsidR="005A39D8">
        <w:t xml:space="preserve"> wheat irrigation</w:t>
      </w:r>
      <w:r w:rsidR="00820B2A">
        <w:t xml:space="preserve"> in India over the years</w:t>
      </w:r>
      <w:r w:rsidR="005A39D8">
        <w:t xml:space="preserve">. </w:t>
      </w:r>
    </w:p>
    <w:p w14:paraId="7CCA1942" w14:textId="77777777" w:rsidR="005A39D8" w:rsidRDefault="005A39D8" w:rsidP="00463562">
      <w:pPr>
        <w:autoSpaceDE w:val="0"/>
        <w:autoSpaceDN w:val="0"/>
        <w:adjustRightInd w:val="0"/>
        <w:spacing w:after="0" w:line="240" w:lineRule="auto"/>
      </w:pPr>
    </w:p>
    <w:p w14:paraId="45E32C99" w14:textId="77777777" w:rsidR="005A39D8" w:rsidRDefault="005A39D8" w:rsidP="00463562">
      <w:pPr>
        <w:autoSpaceDE w:val="0"/>
        <w:autoSpaceDN w:val="0"/>
        <w:adjustRightInd w:val="0"/>
        <w:spacing w:after="0" w:line="240" w:lineRule="auto"/>
      </w:pPr>
      <w:r>
        <w:rPr>
          <w:noProof/>
        </w:rPr>
        <w:lastRenderedPageBreak/>
        <w:drawing>
          <wp:inline distT="0" distB="0" distL="0" distR="0" wp14:anchorId="34042F6E" wp14:editId="245EC0F3">
            <wp:extent cx="4468091" cy="3247004"/>
            <wp:effectExtent l="0" t="0" r="254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4468091" cy="3247004"/>
                    </a:xfrm>
                    <a:prstGeom prst="rect">
                      <a:avLst/>
                    </a:prstGeom>
                  </pic:spPr>
                </pic:pic>
              </a:graphicData>
            </a:graphic>
          </wp:inline>
        </w:drawing>
      </w:r>
    </w:p>
    <w:p w14:paraId="314EFA1B" w14:textId="77777777" w:rsidR="005A39D8" w:rsidRDefault="005A39D8" w:rsidP="00463562">
      <w:pPr>
        <w:autoSpaceDE w:val="0"/>
        <w:autoSpaceDN w:val="0"/>
        <w:adjustRightInd w:val="0"/>
        <w:spacing w:after="0" w:line="240" w:lineRule="auto"/>
      </w:pPr>
    </w:p>
    <w:p w14:paraId="12FBD649" w14:textId="77777777" w:rsidR="00E5440F" w:rsidRDefault="00E5440F" w:rsidP="00E5440F">
      <w:pPr>
        <w:autoSpaceDE w:val="0"/>
        <w:autoSpaceDN w:val="0"/>
        <w:adjustRightInd w:val="0"/>
        <w:spacing w:after="0" w:line="240" w:lineRule="auto"/>
      </w:pPr>
    </w:p>
    <w:p w14:paraId="1403F8F4" w14:textId="1EED68A7" w:rsidR="00463562" w:rsidRDefault="00B00B1A" w:rsidP="00463562">
      <w:pPr>
        <w:autoSpaceDE w:val="0"/>
        <w:autoSpaceDN w:val="0"/>
        <w:adjustRightInd w:val="0"/>
        <w:spacing w:after="0" w:line="240" w:lineRule="auto"/>
      </w:pPr>
      <w:r>
        <w:t>As a result, groundwater depletion has become a cause of concern for India. The causes of excessive groundwater utiliza</w:t>
      </w:r>
      <w:r w:rsidR="00344199">
        <w:t>tion in India, however, are deep</w:t>
      </w:r>
      <w:r>
        <w:t xml:space="preserve">-rooted. </w:t>
      </w:r>
    </w:p>
    <w:p w14:paraId="2265F3F8" w14:textId="5BF1B1D2" w:rsidR="00B00B1A" w:rsidRDefault="00B00B1A" w:rsidP="00463562">
      <w:pPr>
        <w:autoSpaceDE w:val="0"/>
        <w:autoSpaceDN w:val="0"/>
        <w:adjustRightInd w:val="0"/>
        <w:spacing w:after="0" w:line="240" w:lineRule="auto"/>
      </w:pPr>
    </w:p>
    <w:p w14:paraId="623FB3CE" w14:textId="62BBD837" w:rsidR="00344199" w:rsidRPr="00344199" w:rsidRDefault="00344199" w:rsidP="00463562">
      <w:pPr>
        <w:autoSpaceDE w:val="0"/>
        <w:autoSpaceDN w:val="0"/>
        <w:adjustRightInd w:val="0"/>
        <w:spacing w:after="0" w:line="240" w:lineRule="auto"/>
        <w:rPr>
          <w:b/>
        </w:rPr>
      </w:pPr>
      <w:r w:rsidRPr="00344199">
        <w:rPr>
          <w:b/>
        </w:rPr>
        <w:t>Background</w:t>
      </w:r>
    </w:p>
    <w:p w14:paraId="33696216" w14:textId="5C269B70" w:rsidR="0002759C" w:rsidRDefault="00B00B1A" w:rsidP="0002759C">
      <w:pPr>
        <w:autoSpaceDE w:val="0"/>
        <w:autoSpaceDN w:val="0"/>
        <w:adjustRightInd w:val="0"/>
        <w:spacing w:after="0" w:line="240" w:lineRule="auto"/>
      </w:pPr>
      <w:r w:rsidRPr="009C7DF6">
        <w:t>The Green Revolution began in the mid-1960s with a focus on increased cereal crop production</w:t>
      </w:r>
      <w:r>
        <w:t xml:space="preserve"> to meet India’s growing food demand</w:t>
      </w:r>
      <w:r w:rsidRPr="009C7DF6">
        <w:t xml:space="preserve">. This was a major turning point in India’s agriculture as new high yielding varieties were being adopted, with accompanying use of fertilizers that offered benefits with irrigation. </w:t>
      </w:r>
      <w:r>
        <w:t>To ensure farmers reaped the benefits of new technology and information, huge investments were undertaken to improve farmer’s access to irrigation, including groundwater extraction.</w:t>
      </w:r>
      <w:r w:rsidR="00C81DCD">
        <w:t xml:space="preserve"> </w:t>
      </w:r>
      <w:r>
        <w:t xml:space="preserve">An irrigation subsidy seemed appropriate to provide the relevant support to the farmers. Expectedly, these high irrigation subsidies have resulted in continued expansion of groundwater irrigation in India over the years. </w:t>
      </w:r>
      <w:r w:rsidRPr="00473162">
        <w:t xml:space="preserve">Between 1995 and 2004, groundwater extraction in India increased by 18 percent and the number of over-exploited districts - those in which annual demand exceeds annual recharge - grew by 18 percent </w:t>
      </w:r>
      <w:r w:rsidR="00E22B23">
        <w:fldChar w:fldCharType="begin"/>
      </w:r>
      <w:r w:rsidR="00E22B23">
        <w:instrText xml:space="preserve"> ADDIN ZOTERO_ITEM CSL_CITATION {"citationID":"eNhdCLS8","properties":{"formattedCitation":"(Badiani &amp; Jessoe, 2014)","plainCitation":"(Badiani &amp; Jessoe, 2014)","noteIndex":0},"citationItems":[{"id":309,"uris":["http://zotero.org/users/local/LupjHtya/items/939KX6VM"],"uri":["http://zotero.org/users/local/LupjHtya/items/939KX6VM"],"itemData":{"id":309,"type":"article-journal","abstract":"In this paper, we estimate the environmental and agricultural eﬀects of agricultural electricity subsidies in India. To isolate the causal eﬀect of the subsidy, we evaluate the diﬀerential impact of annual state electricity prices in districts with diﬀerent hydrogeological characteristics. Electricity subsidies increase groundwater extraction, where the estimated elasticity is -0.13, and the production of water intensive crops, particularly rice. We ﬁnd that they operate through the extensive margin by expanding the area on which water intensive crops are cultivated. And while these subsidies are estimated to have small deadweight costs, with roughly 88 percent of expenditure transferred to agricultural producers, they increase the output of water intensive crops and the probability of groundwater exploitation, suggesting potential long-term costs.","language":"en","page":"41","source":"Zotero","title":"The Impact of Electricity Subsidies on Groundwater Extraction and Agricultural Production","author":[{"family":"Badiani","given":"Reena"},{"family":"Jessoe","given":"Katrina"}],"issued":{"date-parts":[["2014"]]}}}],"schema":"https://github.com/citation-style-language/schema/raw/master/csl-citation.json"} </w:instrText>
      </w:r>
      <w:r w:rsidR="00E22B23">
        <w:fldChar w:fldCharType="separate"/>
      </w:r>
      <w:r w:rsidR="00E22B23" w:rsidRPr="00E22B23">
        <w:rPr>
          <w:rFonts w:ascii="Calibri" w:hAnsi="Calibri" w:cs="Calibri"/>
        </w:rPr>
        <w:t>(Badiani &amp; Jessoe, 2014)</w:t>
      </w:r>
      <w:r w:rsidR="00E22B23">
        <w:fldChar w:fldCharType="end"/>
      </w:r>
      <w:r>
        <w:t xml:space="preserve">. </w:t>
      </w:r>
      <w:r w:rsidR="0002759C">
        <w:t xml:space="preserve">Evidence suggests that India witnessed increased agricultural yields, lower food prices of cereal crops and an increased demand for agricultural labour mostly due to growth in groundwater irrigation that was fueled by electricity subsidies </w:t>
      </w:r>
      <w:r w:rsidR="0002759C">
        <w:fldChar w:fldCharType="begin"/>
      </w:r>
      <w:r w:rsidR="0002759C">
        <w:instrText xml:space="preserve"> ADDIN ZOTERO_ITEM CSL_CITATION {"citationID":"iWyksenf","properties":{"formattedCitation":"(Badiani et al., 2012; Briscoe &amp; Malik, 2006; Scott &amp; Shah, 2004)","plainCitation":"(Badiani et al., 2012; Briscoe &amp; Malik, 2006; Scott &amp; Shah, 2004)","noteIndex":0},"citationItems":[{"id":317,"uris":["http://zotero.org/users/local/LupjHtya/items/6YG7DF4B"],"uri":["http://zotero.org/users/local/LupjHtya/items/6YG7DF4B"],"itemData":{"id":317,"type":"article-journal","container-title":"The Journal of Environment &amp; Development","ISSN":"1070-4965","issue":"2","journalAbbreviation":"The Journal of Environment &amp; Development","note":"publisher: Sage Publications Sage CA: Los Angeles, CA","page":"244-262","title":"Development and the environment: the implications of agricultural electricity subsidies in India","volume":"21","author":[{"family":"Badiani","given":"Reena"},{"family":"Jessoe","given":"Katrina K"},{"family":"Plant","given":"Suzanne"}],"issued":{"date-parts":[["2012"]]}}},{"id":36,"uris":["http://zotero.org/users/local/LupjHtya/items/WPAN8N78"],"uri":["http://zotero.org/users/local/LupjHtya/items/WPAN8N78"],"itemData":{"id":36,"type":"book","ISBN":"0-19-568319-6","publisher":"New Delhi: Oxford University Press","title":"India's water economy: Bracing for a turbulent future","author":[{"family":"Briscoe","given":"John"},{"family":"Malik","given":"R P S"}],"issued":{"date-parts":[["2006"]]}}},{"id":318,"uris":["http://zotero.org/users/local/LupjHtya/items/J8QTL2DT"],"uri":["http://zotero.org/users/local/LupjHtya/items/J8QTL2DT"],"itemData":{"id":318,"type":"article-journal","container-title":"International Journal of Water Resources Development","ISSN":"0790-0627","issue":"2","journalAbbreviation":"International Journal of Water Resources Development","note":"publisher: Taylor &amp; Francis","page":"149-164","title":"Groundwater overdraft reduction through agricultural energy policy: insights from India and Mexico","volume":"20","author":[{"family":"Scott","given":"Christopher A"},{"family":"Shah","given":"Tushaar"}],"issued":{"date-parts":[["2004"]]}}}],"schema":"https://github.com/citation-style-language/schema/raw/master/csl-citation.json"} </w:instrText>
      </w:r>
      <w:r w:rsidR="0002759C">
        <w:fldChar w:fldCharType="separate"/>
      </w:r>
      <w:r w:rsidR="0002759C" w:rsidRPr="0002759C">
        <w:rPr>
          <w:rFonts w:ascii="Calibri" w:hAnsi="Calibri" w:cs="Calibri"/>
        </w:rPr>
        <w:t>(Badiani et al., 2012; Briscoe &amp; Malik, 2006; Scott &amp; Shah, 2004)</w:t>
      </w:r>
      <w:r w:rsidR="0002759C">
        <w:fldChar w:fldCharType="end"/>
      </w:r>
      <w:r w:rsidR="0002759C">
        <w:t>. As a result, irrigation is not demand-driven anymore, but rather dependent on the electricity supply or lower tariffs.</w:t>
      </w:r>
    </w:p>
    <w:p w14:paraId="39C85302" w14:textId="77777777" w:rsidR="00B00B1A" w:rsidRDefault="00B00B1A" w:rsidP="00463562">
      <w:pPr>
        <w:autoSpaceDE w:val="0"/>
        <w:autoSpaceDN w:val="0"/>
        <w:adjustRightInd w:val="0"/>
        <w:spacing w:after="0" w:line="240" w:lineRule="auto"/>
      </w:pPr>
    </w:p>
    <w:p w14:paraId="7AE6C39F" w14:textId="6CCE3976" w:rsidR="00C3676B" w:rsidRPr="009C7DF6" w:rsidRDefault="003E6DA0" w:rsidP="001149C6">
      <w:pPr>
        <w:autoSpaceDE w:val="0"/>
        <w:autoSpaceDN w:val="0"/>
        <w:adjustRightInd w:val="0"/>
        <w:spacing w:after="0" w:line="240" w:lineRule="auto"/>
      </w:pPr>
      <w:r>
        <w:t xml:space="preserve">India ranks the world’s highest in agricultural subsidies. A large chunk of these subsidies are towards agriculture – fertilizers, food and energy for irrigation. </w:t>
      </w:r>
      <w:r w:rsidR="00830073">
        <w:t xml:space="preserve">Per some estimates, power subsidies in agriculture in India </w:t>
      </w:r>
      <w:r w:rsidR="00296920">
        <w:t>are</w:t>
      </w:r>
      <w:r w:rsidR="00830073">
        <w:t xml:space="preserve"> approximately 12 billion USD in 2015-16 while irrigation subsidies were 2 billion USD in 2013-14 </w:t>
      </w:r>
      <w:r w:rsidR="00620A4C">
        <w:fldChar w:fldCharType="begin"/>
      </w:r>
      <w:r w:rsidR="00620A4C">
        <w:instrText xml:space="preserve"> ADDIN ZOTERO_ITEM CSL_CITATION {"citationID":"eKLgCEGd","properties":{"formattedCitation":"(Ramaswami, 2019)","plainCitation":"(Ramaswami, 2019)","noteIndex":0},"citationItems":[{"id":311,"uris":["http://zotero.org/users/local/LupjHtya/items/MDTRRYF9"],"uri":["http://zotero.org/users/local/LupjHtya/items/MDTRRYF9"],"itemData":{"id":311,"type":"article-journal","note":"publisher: Indian Statistical Institute, New Delhi. https://fincomindia. nic. in …","title":"Agricultural subsidies: Study Prepared for XV Finance Commission","author":[{"family":"Ramaswami","given":"Bharat"}],"issued":{"date-parts":[["2019"]]}}}],"schema":"https://github.com/citation-style-language/schema/raw/master/csl-citation.json"} </w:instrText>
      </w:r>
      <w:r w:rsidR="00620A4C">
        <w:fldChar w:fldCharType="separate"/>
      </w:r>
      <w:r w:rsidR="00620A4C" w:rsidRPr="00620A4C">
        <w:rPr>
          <w:rFonts w:ascii="Calibri" w:hAnsi="Calibri" w:cs="Calibri"/>
        </w:rPr>
        <w:t>(Ramaswami, 2019)</w:t>
      </w:r>
      <w:r w:rsidR="00620A4C">
        <w:fldChar w:fldCharType="end"/>
      </w:r>
      <w:r w:rsidR="00830073">
        <w:t xml:space="preserve">. </w:t>
      </w:r>
      <w:r w:rsidR="00620A4C">
        <w:t>These</w:t>
      </w:r>
      <w:r>
        <w:t xml:space="preserve"> subsidies</w:t>
      </w:r>
      <w:r w:rsidR="00620A4C">
        <w:t xml:space="preserve"> are</w:t>
      </w:r>
      <w:r>
        <w:t xml:space="preserve"> aim</w:t>
      </w:r>
      <w:r w:rsidR="00620A4C">
        <w:t>ed</w:t>
      </w:r>
      <w:r>
        <w:t xml:space="preserve"> to help the small and marginal farmers to reduce their costs of irrigation and help them overcome the vagaries of monsoon. India has faced deficit r</w:t>
      </w:r>
      <w:r w:rsidR="00557FA8">
        <w:t>ainfall in the last 13 out of 18</w:t>
      </w:r>
      <w:r>
        <w:t xml:space="preserve"> years</w:t>
      </w:r>
      <w:r w:rsidR="00557FA8">
        <w:t>, with seven drought years</w:t>
      </w:r>
      <w:r>
        <w:t>.</w:t>
      </w:r>
      <w:r w:rsidR="001149C6">
        <w:t xml:space="preserve"> </w:t>
      </w:r>
      <w:r w:rsidR="00557FA8">
        <w:t>It is also</w:t>
      </w:r>
      <w:r w:rsidR="001149C6">
        <w:t xml:space="preserve"> the world’s largest consumer of groundwater </w:t>
      </w:r>
      <w:r w:rsidR="001149C6" w:rsidRPr="001149C6">
        <w:t>where up to 70% of agricultural production</w:t>
      </w:r>
      <w:r w:rsidR="00D215C1">
        <w:t xml:space="preserve"> </w:t>
      </w:r>
      <w:r w:rsidR="001149C6" w:rsidRPr="001149C6">
        <w:t>and 50% of the population depend on it (</w:t>
      </w:r>
      <w:r w:rsidR="001149C6" w:rsidRPr="00620A4C">
        <w:rPr>
          <w:highlight w:val="yellow"/>
        </w:rPr>
        <w:t>The World Bank and Government of India, 1998</w:t>
      </w:r>
      <w:r w:rsidR="001149C6" w:rsidRPr="001149C6">
        <w:t>)</w:t>
      </w:r>
      <w:r w:rsidR="00A237E5">
        <w:t xml:space="preserve">. </w:t>
      </w:r>
      <w:r w:rsidR="00620A4C">
        <w:t xml:space="preserve"> As a result of these subsidies, t</w:t>
      </w:r>
      <w:r w:rsidR="00A237E5" w:rsidRPr="00D215C1">
        <w:t>otal</w:t>
      </w:r>
      <w:r w:rsidR="00D215C1">
        <w:t xml:space="preserve"> </w:t>
      </w:r>
      <w:r w:rsidR="00A237E5" w:rsidRPr="00D215C1">
        <w:lastRenderedPageBreak/>
        <w:t>irrigated area in India nearly tripled to 33,100,000 ha between 1970</w:t>
      </w:r>
      <w:r w:rsidR="00D215C1">
        <w:t xml:space="preserve"> </w:t>
      </w:r>
      <w:r w:rsidR="00A237E5" w:rsidRPr="00D215C1">
        <w:t xml:space="preserve">and 1999 </w:t>
      </w:r>
      <w:r w:rsidR="005F231F">
        <w:fldChar w:fldCharType="begin"/>
      </w:r>
      <w:r w:rsidR="005F231F">
        <w:instrText xml:space="preserve"> ADDIN ZOTERO_ITEM CSL_CITATION {"citationID":"bo7oxIoa","properties":{"formattedCitation":"(Zaisheng et al., 2006)","plainCitation":"(Zaisheng et al., 2006)","noteIndex":0},"citationItems":[{"id":42,"uris":["http://zotero.org/users/local/LupjHtya/items/SXRY2BT6"],"uri":["http://zotero.org/users/local/LupjHtya/items/SXRY2BT6"],"itemData":{"id":42,"type":"article-journal","container-title":"United National Educational, Scientific, and Cultural Organization","page":"10-18","title":"Transboundary Aquifers in Asia with Special Emphasis to China","author":[{"family":"Zaisheng","given":"H"},{"family":"Hao","given":"W"},{"family":"Rui","given":"C"}],"issued":{"date-parts":[["2006"]]}}}],"schema":"https://github.com/citation-style-language/schema/raw/master/csl-citation.json"} </w:instrText>
      </w:r>
      <w:r w:rsidR="005F231F">
        <w:fldChar w:fldCharType="separate"/>
      </w:r>
      <w:r w:rsidR="005F231F" w:rsidRPr="005F231F">
        <w:rPr>
          <w:rFonts w:ascii="Calibri" w:hAnsi="Calibri" w:cs="Calibri"/>
        </w:rPr>
        <w:t>(Zaisheng et al., 2006)</w:t>
      </w:r>
      <w:r w:rsidR="005F231F">
        <w:fldChar w:fldCharType="end"/>
      </w:r>
      <w:r w:rsidR="005F231F">
        <w:t xml:space="preserve"> </w:t>
      </w:r>
      <w:r w:rsidR="00E41729">
        <w:t xml:space="preserve">and continues to rise thereby putting pressure on the water resources in the country. </w:t>
      </w:r>
    </w:p>
    <w:p w14:paraId="01162440" w14:textId="77777777" w:rsidR="009A0607" w:rsidRDefault="009A0607" w:rsidP="00473162">
      <w:pPr>
        <w:autoSpaceDE w:val="0"/>
        <w:autoSpaceDN w:val="0"/>
        <w:adjustRightInd w:val="0"/>
        <w:spacing w:after="0" w:line="240" w:lineRule="auto"/>
      </w:pPr>
    </w:p>
    <w:p w14:paraId="2AA84215" w14:textId="3EE80C2C" w:rsidR="00760DCA" w:rsidRDefault="007367C6" w:rsidP="00760DCA">
      <w:pPr>
        <w:autoSpaceDE w:val="0"/>
        <w:autoSpaceDN w:val="0"/>
        <w:adjustRightInd w:val="0"/>
        <w:spacing w:after="0" w:line="240" w:lineRule="auto"/>
      </w:pPr>
      <w:r>
        <w:t xml:space="preserve">Agriculture and water are state subjects in India and the local state governments are the authority in decisions on the usage of both. They usually play a role in determining the energy pricing for the agricultural grid. As a result, sub-national policies on electricity pricing for agriculture are different for different states in India. </w:t>
      </w:r>
      <w:r w:rsidR="000C0D8D">
        <w:t>Statistics from the Central Groundwater Board reveal the trends in groundwater extraction status across various states in India. 21% of groundwater units in India were found to be either at c</w:t>
      </w:r>
      <w:r w:rsidR="00546FF3">
        <w:t xml:space="preserve">ritical or over-exploited state </w:t>
      </w:r>
      <w:r w:rsidR="00546FF3">
        <w:fldChar w:fldCharType="begin"/>
      </w:r>
      <w:r w:rsidR="00546FF3">
        <w:instrText xml:space="preserve"> ADDIN ZOTERO_ITEM CSL_CITATION {"citationID":"8hpVvagQ","properties":{"formattedCitation":"(Central Ground Water Board, 2019)","plainCitation":"(Central Ground Water Board, 2019)","noteIndex":0},"citationItems":[{"id":319,"uris":["http://zotero.org/users/local/LupjHtya/items/22LPX87Z"],"uri":["http://zotero.org/users/local/LupjHtya/items/22LPX87Z"],"itemData":{"id":319,"type":"report","publisher":"Ministry of Jal Shakti, Department of Water Resources, Government of India","title":"National Compilation on Dynamic Ground Water Resources of India, 2017","URL":"http://cgwb.gov.in/GW-Assessment/GWRA-2017-National-Compilation.pdf","author":[{"family":"Central Ground Water Board","given":""}],"accessed":{"date-parts":[["2020",2,23]]},"issued":{"date-parts":[["2019",7]]}}}],"schema":"https://github.com/citation-style-language/schema/raw/master/csl-citation.json"} </w:instrText>
      </w:r>
      <w:r w:rsidR="00546FF3">
        <w:fldChar w:fldCharType="separate"/>
      </w:r>
      <w:r w:rsidR="00546FF3" w:rsidRPr="00546FF3">
        <w:rPr>
          <w:rFonts w:ascii="Calibri" w:hAnsi="Calibri" w:cs="Calibri"/>
        </w:rPr>
        <w:t>(Central Ground Water Board, 2019)</w:t>
      </w:r>
      <w:r w:rsidR="00546FF3">
        <w:fldChar w:fldCharType="end"/>
      </w:r>
      <w:r w:rsidR="00546FF3">
        <w:t xml:space="preserve">. </w:t>
      </w:r>
      <w:r w:rsidR="00760DCA">
        <w:t xml:space="preserve">In the same report, it is presented that while the overall stage of ground water development in the country is 63%, the states of Delhi, Haryana, Punjab and Rajasthan have over 100% rate of extraction, implying that </w:t>
      </w:r>
      <w:r w:rsidR="00C77209">
        <w:t xml:space="preserve">in </w:t>
      </w:r>
      <w:r w:rsidR="00760DCA">
        <w:t xml:space="preserve">these states the annual groundwater consumption is higher than their annual extractable groundwater resources. </w:t>
      </w:r>
      <w:r w:rsidR="00C74882">
        <w:fldChar w:fldCharType="begin"/>
      </w:r>
      <w:r w:rsidR="00074076">
        <w:instrText xml:space="preserve"> ADDIN ZOTERO_ITEM CSL_CITATION {"citationID":"jot8LmvS","properties":{"formattedCitation":"(Rodell et al., 2009)","plainCitation":"(Rodell et al., 2009)","dontUpdate":true,"noteIndex":0},"citationItems":[{"id":40,"uris":["http://zotero.org/users/local/LupjHtya/items/DRG6JDZM"],"uri":["http://zotero.org/users/local/LupjHtya/items/DRG6JDZM"],"itemData":{"id":40,"type":"article-journal","abstract":"Groundwater is a primary source of fresh water in many parts of the world. Some regions are becoming overly dependent on it, consuming groundwater faster than it is naturally replenished and causing water tables to decline unremittingly. Indirect evidence suggests that this is the case in northwest India, but there has been no regional assessment of the rate of groundwater depletion. Here we use terrestrial water storage-change observations from the NASA Gravity Recovery and Climate Experiment satellites and simulated soil-water variations from a data-integrating hydrological modelling system to show that groundwater is being depleted at a mean rate of 4.0 1.0 cm yr-1 equivalent height of water (17.7 4.5 km 3 yr-1) over the Indian states of Rajasthan, Punjab and Haryana (including Delhi). During our study period of August 2002 to October 2008, groundwater depletion was equivalent to a net loss of 109 km 3 of water, which is double the capacity of Indias largest surface-water reservoir. Annual rainfall was close to normal throughout the period and we demonstrate that the other terrestrial water storage components (soil moisture, surface waters, snow, glaciers and biomass) did not contribute significantly to the observed decline in total water levels. Although our observational record is brief, the available evidence suggests that unsustainable consumption of groundwater for irrigation and other anthropogenic uses is likely to be the cause. If measures are not taken soon to ensure sustainable groundwater usage, the consequences for the 114,000,000 residents of the region may include a reduction of agricultural output and shortages of potable water, leading to extensive socioeconomic stresses. © 2009 Macmillan Publishers Limited. All rights reserved.","container-title":"Nature","DOI":"10.1038/nature08238","issue":"7258","page":"999-1002","title":"Satellite-based estimates of groundwater depletion in India","volume":"460","author":[{"family":"Rodell","given":"Matthew"},{"family":"Velicogna","given":"Isabella"},{"family":"Famiglietti","given":"James S."}],"issued":{"date-parts":[["2009",8]]}}}],"schema":"https://github.com/citation-style-language/schema/raw/master/csl-citation.json"} </w:instrText>
      </w:r>
      <w:r w:rsidR="00C74882">
        <w:fldChar w:fldCharType="separate"/>
      </w:r>
      <w:r w:rsidR="00C8577F" w:rsidRPr="00C8577F">
        <w:rPr>
          <w:rFonts w:ascii="Calibri" w:hAnsi="Calibri" w:cs="Calibri"/>
        </w:rPr>
        <w:t xml:space="preserve">Rodell et al., </w:t>
      </w:r>
      <w:r w:rsidR="00C8577F">
        <w:rPr>
          <w:rFonts w:ascii="Calibri" w:hAnsi="Calibri" w:cs="Calibri"/>
        </w:rPr>
        <w:t>(</w:t>
      </w:r>
      <w:r w:rsidR="00C8577F" w:rsidRPr="00C8577F">
        <w:rPr>
          <w:rFonts w:ascii="Calibri" w:hAnsi="Calibri" w:cs="Calibri"/>
        </w:rPr>
        <w:t>2009)</w:t>
      </w:r>
      <w:r w:rsidR="00C74882">
        <w:fldChar w:fldCharType="end"/>
      </w:r>
      <w:r w:rsidR="00C74882">
        <w:t xml:space="preserve"> </w:t>
      </w:r>
      <w:r w:rsidR="00F365A9">
        <w:t>undertook an assessment of groundwater depletion rates of these three states (including Delhi) using terrestrial water-storage observations from NASA GRACE satellites and found that from August 2002 to October 2009, groundwater depletion in these states was equivalent to a net loss of 109</w:t>
      </w:r>
      <w:r w:rsidR="00A1510A">
        <w:t xml:space="preserve"> </w:t>
      </w:r>
      <w:r w:rsidR="00F365A9">
        <w:t>km</w:t>
      </w:r>
      <w:r w:rsidR="00F365A9" w:rsidRPr="00D65C55">
        <w:rPr>
          <w:sz w:val="18"/>
          <w:vertAlign w:val="superscript"/>
        </w:rPr>
        <w:t>3</w:t>
      </w:r>
      <w:r w:rsidR="00F365A9">
        <w:t xml:space="preserve"> of water. This extraction is almost double the capacity of India’s la</w:t>
      </w:r>
      <w:r w:rsidR="00A1510A">
        <w:t xml:space="preserve">rgest surface-water reservoir. </w:t>
      </w:r>
      <w:r w:rsidR="00DD0277">
        <w:t>Similar analysis in the Indo-Gangetic Plain, the largest reservoir in India</w:t>
      </w:r>
      <w:r w:rsidR="00696711">
        <w:t>, has</w:t>
      </w:r>
      <w:r w:rsidR="00DD0277">
        <w:t xml:space="preserve"> found that groundwater depletion has been prevalent due to exploitative abstraction where groundwater storage levels continued to decline until 2009 and have stabilized thereafter </w:t>
      </w:r>
      <w:r>
        <w:fldChar w:fldCharType="begin"/>
      </w:r>
      <w:r>
        <w:instrText xml:space="preserve"> ADDIN ZOTERO_ITEM CSL_CITATION {"citationID":"h4a3czic","properties":{"formattedCitation":"(Tiwari et al., 2009; Yi et al., 2016)","plainCitation":"(Tiwari et al., 2009; Yi et al., 2016)","noteIndex":0},"citationItems":[{"id":320,"uris":["http://zotero.org/users/local/LupjHtya/items/MGAUK2RS"],"uri":["http://zotero.org/users/local/LupjHtya/items/MGAUK2RS"],"itemData":{"id":320,"type":"article-journal","container-title":"Geophysical Research Letters","ISSN":"0094-8276","issue":"18","journalAbbreviation":"Geophysical Research Letters","note":"publisher: Wiley Online Library","title":"Dwindling groundwater resources in northern India, from satellite gravity observations","volume":"36","author":[{"family":"Tiwari","given":"VM"},{"family":"Wahr","given":"J"},{"family":"Swenson","given":"S"}],"issued":{"date-parts":[["2009"]]}}},{"id":321,"uris":["http://zotero.org/users/local/LupjHtya/items/GBVW5KBP"],"uri":["http://zotero.org/users/local/LupjHtya/items/GBVW5KBP"],"itemData":{"id":321,"type":"article-journal","container-title":"Journal of Geophysical Research: Solid Earth","ISSN":"2169-9313","issue":"5","journalAbbreviation":"Journal of Geophysical Research: Solid Earth","note":"publisher: Wiley Online Library","page":"3782-3803","title":"Basin mass dynamic changes in China from GRACE based on a multibasin inversion method","volume":"121","author":[{"family":"Yi","given":"Shuang"},{"family":"Wang","given":"Qiuyu"},{"family":"Sun","given":"Wenke"}],"issued":{"date-parts":[["2016"]]}}}],"schema":"https://github.com/citation-style-language/schema/raw/master/csl-citation.json"} </w:instrText>
      </w:r>
      <w:r>
        <w:fldChar w:fldCharType="separate"/>
      </w:r>
      <w:r w:rsidRPr="007367C6">
        <w:rPr>
          <w:rFonts w:ascii="Calibri" w:hAnsi="Calibri" w:cs="Calibri"/>
        </w:rPr>
        <w:t>(Tiwari et al., 2009; Yi et al., 2016)</w:t>
      </w:r>
      <w:r>
        <w:fldChar w:fldCharType="end"/>
      </w:r>
      <w:r w:rsidR="00DD0277">
        <w:t xml:space="preserve">. </w:t>
      </w:r>
    </w:p>
    <w:p w14:paraId="3F9C3BF2" w14:textId="77777777" w:rsidR="00A237E5" w:rsidRDefault="00A237E5" w:rsidP="00A237E5">
      <w:pPr>
        <w:autoSpaceDE w:val="0"/>
        <w:autoSpaceDN w:val="0"/>
        <w:adjustRightInd w:val="0"/>
        <w:spacing w:after="0" w:line="240" w:lineRule="auto"/>
      </w:pPr>
    </w:p>
    <w:p w14:paraId="585DCA4E" w14:textId="0A8A4200" w:rsidR="008A785E" w:rsidRDefault="00C55619" w:rsidP="008A785E">
      <w:pPr>
        <w:autoSpaceDE w:val="0"/>
        <w:autoSpaceDN w:val="0"/>
        <w:adjustRightInd w:val="0"/>
        <w:spacing w:after="0" w:line="240" w:lineRule="auto"/>
        <w:rPr>
          <w:rFonts w:cstheme="minorHAnsi"/>
        </w:rPr>
      </w:pPr>
      <w:r>
        <w:t>Decreasing groundwater levels in these regions has reduced the water table further, thereby increasing the energy costs of extraction for the farmers.</w:t>
      </w:r>
      <w:r w:rsidR="00F72DFF">
        <w:t xml:space="preserve"> </w:t>
      </w:r>
      <w:r w:rsidR="0030430B">
        <w:t xml:space="preserve">In their analysis of groundwater depth and electricity consumption for pumping, </w:t>
      </w:r>
      <w:r w:rsidR="00D00893">
        <w:fldChar w:fldCharType="begin"/>
      </w:r>
      <w:r w:rsidR="00074076">
        <w:instrText xml:space="preserve"> ADDIN ZOTERO_ITEM CSL_CITATION {"citationID":"kQB9p8qq","properties":{"formattedCitation":"(Barik et al., 2017)","plainCitation":"(Barik et al., 2017)","dontUpdate":true,"noteIndex":0},"citationItems":[{"id":306,"uris":["http://zotero.org/users/local/LupjHtya/items/4NA5K4PN"],"uri":["http://zotero.org/users/local/LupjHtya/items/4NA5K4PN"],"itemData":{"id":306,"type":"article-journal","container-title":"Hydrology and Earth System Sciences","ISSN":"1027-5606","issue":"6","journalAbbreviation":"Hydrology and Earth System Sciences","note":"publisher: Copernicus GmbH","page":"3041-3060","title":"Water–food–energy nexus with changing agricultural scenarios in India during recent decades","volume":"21","author":[{"family":"Barik","given":"Beas"},{"family":"Ghosh","given":"Subimal"},{"family":"Sahana","given":"A Saheer"},{"family":"Pathak","given":"Amey"},{"family":"Sekhar","given":"Muddu"}],"issued":{"date-parts":[["2017"]]}}}],"schema":"https://github.com/citation-style-language/schema/raw/master/csl-citation.json"} </w:instrText>
      </w:r>
      <w:r w:rsidR="00D00893">
        <w:fldChar w:fldCharType="separate"/>
      </w:r>
      <w:r w:rsidR="00D00893" w:rsidRPr="00D00893">
        <w:rPr>
          <w:rFonts w:ascii="Calibri" w:hAnsi="Calibri" w:cs="Calibri"/>
        </w:rPr>
        <w:t xml:space="preserve">Barik et al., </w:t>
      </w:r>
      <w:r w:rsidR="00D00893">
        <w:rPr>
          <w:rFonts w:ascii="Calibri" w:hAnsi="Calibri" w:cs="Calibri"/>
        </w:rPr>
        <w:t>(</w:t>
      </w:r>
      <w:r w:rsidR="00D00893" w:rsidRPr="00D00893">
        <w:rPr>
          <w:rFonts w:ascii="Calibri" w:hAnsi="Calibri" w:cs="Calibri"/>
        </w:rPr>
        <w:t>2017)</w:t>
      </w:r>
      <w:r w:rsidR="00D00893">
        <w:fldChar w:fldCharType="end"/>
      </w:r>
      <w:r w:rsidR="00D00893">
        <w:t xml:space="preserve"> </w:t>
      </w:r>
      <w:r w:rsidR="0030430B">
        <w:t xml:space="preserve">found a negative correlation between groundwater storage from 2008-09 to 2011-12 and an increase in electricity consumption (R = -0.86). </w:t>
      </w:r>
      <w:r w:rsidR="007B325A">
        <w:t xml:space="preserve">Consumption of electricity can be used as a safe proxy for “electricity used for pumping groundwater” as most </w:t>
      </w:r>
      <w:r w:rsidR="00D56E97">
        <w:t xml:space="preserve">other </w:t>
      </w:r>
      <w:r w:rsidR="007B325A">
        <w:t>mechanization activities for agriculture use diesel</w:t>
      </w:r>
      <w:r w:rsidR="00D00893">
        <w:t xml:space="preserve"> </w:t>
      </w:r>
      <w:r w:rsidR="00D00893">
        <w:fldChar w:fldCharType="begin"/>
      </w:r>
      <w:r w:rsidR="00D00893">
        <w:instrText xml:space="preserve"> ADDIN ZOTERO_ITEM CSL_CITATION {"citationID":"OSvuDkgE","properties":{"formattedCitation":"(Scott &amp; Shah, 2004)","plainCitation":"(Scott &amp; Shah, 2004)","noteIndex":0},"citationItems":[{"id":318,"uris":["http://zotero.org/users/local/LupjHtya/items/J8QTL2DT"],"uri":["http://zotero.org/users/local/LupjHtya/items/J8QTL2DT"],"itemData":{"id":318,"type":"article-journal","container-title":"International Journal of Water Resources Development","ISSN":"0790-0627","issue":"2","journalAbbreviation":"International Journal of Water Resources Development","note":"publisher: Taylor &amp; Francis","page":"149-164","title":"Groundwater overdraft reduction through agricultural energy policy: insights from India and Mexico","volume":"20","author":[{"family":"Scott","given":"Christopher A"},{"family":"Shah","given":"Tushaar"}],"issued":{"date-parts":[["2004"]]}}}],"schema":"https://github.com/citation-style-language/schema/raw/master/csl-citation.json"} </w:instrText>
      </w:r>
      <w:r w:rsidR="00D00893">
        <w:fldChar w:fldCharType="separate"/>
      </w:r>
      <w:r w:rsidR="00D00893" w:rsidRPr="00D00893">
        <w:rPr>
          <w:rFonts w:ascii="Calibri" w:hAnsi="Calibri" w:cs="Calibri"/>
        </w:rPr>
        <w:t>(Scott &amp; Shah, 2004)</w:t>
      </w:r>
      <w:r w:rsidR="00D00893">
        <w:fldChar w:fldCharType="end"/>
      </w:r>
      <w:r w:rsidR="007B325A">
        <w:t xml:space="preserve">. </w:t>
      </w:r>
      <w:r w:rsidR="00D00893">
        <w:t>Water</w:t>
      </w:r>
      <w:r w:rsidR="00327C6D">
        <w:t xml:space="preserve"> pricing</w:t>
      </w:r>
      <w:r w:rsidR="00D00893">
        <w:t xml:space="preserve"> for agriculture through electricity tariffs</w:t>
      </w:r>
      <w:r w:rsidR="00327C6D">
        <w:t xml:space="preserve"> </w:t>
      </w:r>
      <w:r w:rsidR="00630DC2">
        <w:t>is</w:t>
      </w:r>
      <w:r w:rsidR="00327C6D">
        <w:t xml:space="preserve"> therefore seen as a powerful tool in influencing groundwater usage in specific regions. </w:t>
      </w:r>
      <w:r w:rsidR="007459FC">
        <w:fldChar w:fldCharType="begin"/>
      </w:r>
      <w:r w:rsidR="00074076">
        <w:instrText xml:space="preserve"> ADDIN ZOTERO_ITEM CSL_CITATION {"citationID":"2qspbkgY","properties":{"formattedCitation":"(Bhanja et al., 2017)","plainCitation":"(Bhanja et al., 2017)","dontUpdate":true,"noteIndex":0},"citationItems":[{"id":41,"uris":["http://zotero.org/users/local/LupjHtya/items/ZAUJKASY"],"uri":["http://zotero.org/users/local/LupjHtya/items/ZAUJKASY"],"itemData":{"id":41,"type":"article-journal","abstract":"The dwindling groundwater resource of India, supporting almost one fifth of the global population and also the largest groundwater user, has been of great concern in recent years. However, in contrary to the well documented Indian groundwater depletion due to rapid and unmanaged groundwater withdrawal, here for the first time, we report regional-scale groundwater storage (GWS) replenishment through long-term (1996-2014, using more than 19000 observation locations) in situ and decadal (2003-2014) satellite-based groundwater storage measurements in western and southern parts of India. In parts of western and southern India, in situ GWS (GWSobs) has been decreasing at the rate of -5.81 ± 0.38 km3/year (in 1996-2001) and -0.92 ± 0.12 km3/year (in 1996-2002), and reversed to replenish at the rate of 2.04 ± 0.20 km3/year (in 2002-2014) and 0.76 ± 0.08 km3/year (in 2003-2014), respectively. Here, using statistical analyses and simulation results of groundwater management policy change effect on groundwater storage in western and southern India, we show that paradigm shift in Indian groundwater withdrawal and management policies for sustainable water utilization appear to have started replenishing the aquifers in western and southern parts of India.","container-title":"Scientific Reports","DOI":"10.1038/s41598-017-07058-2","issue":"1","note":"publisher: Nature Publishing Group","title":"Groundwater rejuvenation in parts of India influenced by water-policy change implementation","volume":"7","author":[{"family":"Bhanja","given":"Soumendra N."},{"family":"Mukherjee","given":"Abhijit"},{"family":"Rodell","given":"Matthew"},{"family":"Wada","given":"Yoshihide"},{"family":"Chattopadhyay","given":"Siddhartha"},{"family":"Velicogna","given":"Isabella"},{"family":"Pangaluru","given":"Kishore"},{"family":"Famiglietti","given":"James S."}],"issued":{"date-parts":[["2017",12]]}}}],"schema":"https://github.com/citation-style-language/schema/raw/master/csl-citation.json"} </w:instrText>
      </w:r>
      <w:r w:rsidR="007459FC">
        <w:fldChar w:fldCharType="separate"/>
      </w:r>
      <w:r w:rsidR="007459FC" w:rsidRPr="007459FC">
        <w:rPr>
          <w:rFonts w:ascii="Calibri" w:hAnsi="Calibri" w:cs="Calibri"/>
        </w:rPr>
        <w:t xml:space="preserve">Bhanja et al., </w:t>
      </w:r>
      <w:r w:rsidR="007459FC">
        <w:rPr>
          <w:rFonts w:ascii="Calibri" w:hAnsi="Calibri" w:cs="Calibri"/>
        </w:rPr>
        <w:t>(</w:t>
      </w:r>
      <w:r w:rsidR="007459FC" w:rsidRPr="007459FC">
        <w:rPr>
          <w:rFonts w:ascii="Calibri" w:hAnsi="Calibri" w:cs="Calibri"/>
        </w:rPr>
        <w:t>2017)</w:t>
      </w:r>
      <w:r w:rsidR="007459FC">
        <w:fldChar w:fldCharType="end"/>
      </w:r>
      <w:r w:rsidR="00584943">
        <w:t xml:space="preserve"> undertook a case study of Gujarat</w:t>
      </w:r>
      <w:r w:rsidR="00281EAF">
        <w:t>, India,</w:t>
      </w:r>
      <w:r w:rsidR="00584943">
        <w:t xml:space="preserve"> whereby they</w:t>
      </w:r>
      <w:r w:rsidR="00327C6D" w:rsidRPr="00052E4A">
        <w:rPr>
          <w:rFonts w:cstheme="minorHAnsi"/>
        </w:rPr>
        <w:t xml:space="preserve"> used the electricity reduction information</w:t>
      </w:r>
      <w:r w:rsidR="00052E4A">
        <w:rPr>
          <w:rFonts w:cstheme="minorHAnsi"/>
        </w:rPr>
        <w:t xml:space="preserve"> </w:t>
      </w:r>
      <w:r w:rsidR="00327C6D" w:rsidRPr="00052E4A">
        <w:rPr>
          <w:rFonts w:cstheme="minorHAnsi"/>
        </w:rPr>
        <w:t>in HTS simulation of Gujarat (i.e. lowering ~1/3 of agricultural power consumption) and compared the</w:t>
      </w:r>
      <w:r w:rsidR="00052E4A">
        <w:rPr>
          <w:rFonts w:cstheme="minorHAnsi"/>
        </w:rPr>
        <w:t xml:space="preserve"> </w:t>
      </w:r>
      <w:r w:rsidR="00327C6D" w:rsidRPr="00052E4A">
        <w:rPr>
          <w:rFonts w:cstheme="minorHAnsi"/>
        </w:rPr>
        <w:t>output G</w:t>
      </w:r>
      <w:r w:rsidR="00584943">
        <w:rPr>
          <w:rFonts w:cstheme="minorHAnsi"/>
        </w:rPr>
        <w:t>roundwater Storage (G</w:t>
      </w:r>
      <w:r w:rsidR="00327C6D" w:rsidRPr="00052E4A">
        <w:rPr>
          <w:rFonts w:cstheme="minorHAnsi"/>
        </w:rPr>
        <w:t>WS</w:t>
      </w:r>
      <w:r w:rsidR="00584943">
        <w:rPr>
          <w:rFonts w:cstheme="minorHAnsi"/>
        </w:rPr>
        <w:t>)</w:t>
      </w:r>
      <w:r w:rsidR="00327C6D" w:rsidRPr="00052E4A">
        <w:rPr>
          <w:rFonts w:cstheme="minorHAnsi"/>
        </w:rPr>
        <w:t xml:space="preserve"> with that of the </w:t>
      </w:r>
      <w:r w:rsidR="00584943">
        <w:rPr>
          <w:rFonts w:cstheme="minorHAnsi"/>
        </w:rPr>
        <w:t>Baseline(</w:t>
      </w:r>
      <w:r w:rsidR="00327C6D" w:rsidRPr="00052E4A">
        <w:rPr>
          <w:rFonts w:cstheme="minorHAnsi"/>
        </w:rPr>
        <w:t>BS</w:t>
      </w:r>
      <w:r w:rsidR="00584943">
        <w:rPr>
          <w:rFonts w:cstheme="minorHAnsi"/>
        </w:rPr>
        <w:t>)</w:t>
      </w:r>
      <w:r w:rsidR="00327C6D" w:rsidRPr="00052E4A">
        <w:rPr>
          <w:rFonts w:cstheme="minorHAnsi"/>
        </w:rPr>
        <w:t xml:space="preserve">. </w:t>
      </w:r>
      <w:r w:rsidR="00584943">
        <w:rPr>
          <w:rFonts w:cstheme="minorHAnsi"/>
        </w:rPr>
        <w:t>The</w:t>
      </w:r>
      <w:r w:rsidR="007459FC">
        <w:rPr>
          <w:rFonts w:cstheme="minorHAnsi"/>
        </w:rPr>
        <w:t xml:space="preserve">ir </w:t>
      </w:r>
      <w:r w:rsidR="00584943">
        <w:rPr>
          <w:rFonts w:cstheme="minorHAnsi"/>
        </w:rPr>
        <w:t xml:space="preserve">simulation results supported an estimated increase in GWS by </w:t>
      </w:r>
      <w:r w:rsidR="00327C6D" w:rsidRPr="00052E4A">
        <w:rPr>
          <w:rFonts w:cstheme="minorHAnsi"/>
        </w:rPr>
        <w:t xml:space="preserve">3.2 to 4.4 km3/year in Gujarat (p &lt; 0.05) during 2003–2014 on comparing the GWS for 1996–2002. </w:t>
      </w:r>
      <w:r w:rsidR="00584943">
        <w:rPr>
          <w:rFonts w:cstheme="minorHAnsi"/>
        </w:rPr>
        <w:t xml:space="preserve">This increase was observed despite a decreasing total precipitation rate in the area in that time period. </w:t>
      </w:r>
      <w:r w:rsidR="00327C6D" w:rsidRPr="00052E4A">
        <w:rPr>
          <w:rFonts w:cstheme="minorHAnsi"/>
        </w:rPr>
        <w:t>(linearly decreasing at a rate of 9.11 ± 4.45 mm/year) during 2002–2014.</w:t>
      </w:r>
      <w:r w:rsidR="00630DC2">
        <w:rPr>
          <w:rFonts w:cstheme="minorHAnsi"/>
        </w:rPr>
        <w:t xml:space="preserve"> </w:t>
      </w:r>
      <w:r w:rsidR="007459FC">
        <w:rPr>
          <w:rFonts w:cstheme="minorHAnsi"/>
        </w:rPr>
        <w:t>Similarly, i</w:t>
      </w:r>
      <w:r w:rsidR="00630DC2">
        <w:rPr>
          <w:rFonts w:cstheme="minorHAnsi"/>
        </w:rPr>
        <w:t xml:space="preserve">n an evaluation </w:t>
      </w:r>
      <w:r w:rsidR="00FF42CE">
        <w:rPr>
          <w:rFonts w:cstheme="minorHAnsi"/>
        </w:rPr>
        <w:t xml:space="preserve">to measure the impact of changing electricity pricing from a flat rate tariff to metered tariff in West Bengal, </w:t>
      </w:r>
      <w:r w:rsidR="007459FC">
        <w:rPr>
          <w:rFonts w:cstheme="minorHAnsi"/>
        </w:rPr>
        <w:fldChar w:fldCharType="begin"/>
      </w:r>
      <w:r w:rsidR="00074076">
        <w:rPr>
          <w:rFonts w:cstheme="minorHAnsi"/>
        </w:rPr>
        <w:instrText xml:space="preserve"> ADDIN ZOTERO_ITEM CSL_CITATION {"citationID":"lhJKQ64D","properties":{"formattedCitation":"(Meenakshi et al., 2012)","plainCitation":"(Meenakshi et al., 2012)","dontUpdate":true,"noteIndex":0},"citationItems":[{"id":322,"uris":["http://zotero.org/users/local/LupjHtya/items/YFUFY826"],"uri":["http://zotero.org/users/local/LupjHtya/items/YFUFY826"],"itemData":{"id":322,"type":"article","publisher":"Paper submitted to 8th Annual Conference on Economic Growth and Development","title":"Does Marginal Cost Pricing of Electricity Affect Groundwater Pumping Behavior of Farmers?","author":[{"family":"Meenakshi","given":"J V"},{"family":"Banerji","given":"Abhijit"},{"family":"Mukherji","given":"Aditi"},{"family":"Gupta","given":"Anubhab"}],"issued":{"date-parts":[["2012",12]]}}}],"schema":"https://github.com/citation-style-language/schema/raw/master/csl-citation.json"} </w:instrText>
      </w:r>
      <w:r w:rsidR="007459FC">
        <w:rPr>
          <w:rFonts w:cstheme="minorHAnsi"/>
        </w:rPr>
        <w:fldChar w:fldCharType="separate"/>
      </w:r>
      <w:r w:rsidR="007459FC" w:rsidRPr="007459FC">
        <w:rPr>
          <w:rFonts w:ascii="Calibri" w:hAnsi="Calibri" w:cs="Calibri"/>
        </w:rPr>
        <w:t xml:space="preserve">Meenakshi et al., </w:t>
      </w:r>
      <w:r w:rsidR="007459FC">
        <w:rPr>
          <w:rFonts w:ascii="Calibri" w:hAnsi="Calibri" w:cs="Calibri"/>
        </w:rPr>
        <w:t>(</w:t>
      </w:r>
      <w:r w:rsidR="007459FC" w:rsidRPr="007459FC">
        <w:rPr>
          <w:rFonts w:ascii="Calibri" w:hAnsi="Calibri" w:cs="Calibri"/>
        </w:rPr>
        <w:t>2012)</w:t>
      </w:r>
      <w:r w:rsidR="007459FC">
        <w:rPr>
          <w:rFonts w:cstheme="minorHAnsi"/>
        </w:rPr>
        <w:fldChar w:fldCharType="end"/>
      </w:r>
      <w:r w:rsidR="00FF42CE">
        <w:rPr>
          <w:rFonts w:cstheme="minorHAnsi"/>
        </w:rPr>
        <w:t xml:space="preserve"> found that a reduction in pump hours was</w:t>
      </w:r>
      <w:r w:rsidR="005400F5">
        <w:rPr>
          <w:rFonts w:cstheme="minorHAnsi"/>
        </w:rPr>
        <w:t xml:space="preserve"> felt only in the winter (</w:t>
      </w:r>
      <w:proofErr w:type="spellStart"/>
      <w:r w:rsidR="005400F5" w:rsidRPr="005400F5">
        <w:rPr>
          <w:rFonts w:cstheme="minorHAnsi"/>
          <w:i/>
        </w:rPr>
        <w:t>boro</w:t>
      </w:r>
      <w:proofErr w:type="spellEnd"/>
      <w:r w:rsidR="005400F5">
        <w:rPr>
          <w:rFonts w:cstheme="minorHAnsi"/>
        </w:rPr>
        <w:t xml:space="preserve">) season, but did not affect the cropping pattern of the region or the output of </w:t>
      </w:r>
      <w:proofErr w:type="spellStart"/>
      <w:r w:rsidR="005400F5" w:rsidRPr="005400F5">
        <w:rPr>
          <w:rFonts w:cstheme="minorHAnsi"/>
          <w:i/>
        </w:rPr>
        <w:t>boro</w:t>
      </w:r>
      <w:proofErr w:type="spellEnd"/>
      <w:r w:rsidR="005400F5">
        <w:rPr>
          <w:rFonts w:cstheme="minorHAnsi"/>
        </w:rPr>
        <w:t xml:space="preserve"> paddy. Reductions in water were not found to directly impact the output of these crops. </w:t>
      </w:r>
      <w:r w:rsidR="00E56620">
        <w:rPr>
          <w:rFonts w:cstheme="minorHAnsi"/>
        </w:rPr>
        <w:t>On the contrary, s</w:t>
      </w:r>
      <w:r w:rsidR="008A785E">
        <w:rPr>
          <w:rFonts w:cstheme="minorHAnsi"/>
        </w:rPr>
        <w:t xml:space="preserve">ome studies have found that water pricing is not an efficient alternative to reducing irrigation </w:t>
      </w:r>
      <w:r w:rsidR="00E56620">
        <w:rPr>
          <w:rFonts w:cstheme="minorHAnsi"/>
        </w:rPr>
        <w:fldChar w:fldCharType="begin"/>
      </w:r>
      <w:r w:rsidR="00E56620">
        <w:rPr>
          <w:rFonts w:cstheme="minorHAnsi"/>
        </w:rPr>
        <w:instrText xml:space="preserve"> ADDIN ZOTERO_ITEM CSL_CITATION {"citationID":"A5LdvDWB","properties":{"formattedCitation":"(Han &amp; Zhao, 2007; Molle et al., 2008)","plainCitation":"(Han &amp; Zhao, 2007; Molle et al., 2008)","noteIndex":0},"citationItems":[{"id":323,"uris":["http://zotero.org/users/local/LupjHtya/items/4QA7TTG6"],"uri":["http://zotero.org/users/local/LupjHtya/items/4QA7TTG6"],"itemData":{"id":323,"type":"article-journal","container-title":"Agricultural Sciences in China","ISSN":"1671-2927","issue":"12","journalAbbreviation":"Agricultural Sciences in China","note":"publisher: Elsevier","page":"1472-1478","title":"The impact of water pricing policy on local environment-an analysis of three irrigation districts in China","volume":"6","author":[{"family":"Han","given":"Hong-yun"},{"family":"Zhao","given":"Lian-ge"}],"issued":{"date-parts":[["2007"]]}}},{"id":324,"uris":["http://zotero.org/users/local/LupjHtya/items/BIE8RGXS"],"uri":["http://zotero.org/users/local/LupjHtya/items/BIE8RGXS"],"itemData":{"id":324,"type":"article-journal","container-title":"agricultural water management","ISSN":"0378-3774","issue":"4","journalAbbreviation":"agricultural water management","note":"publisher: Elsevier","page":"427-438","title":"Irrigation in the Jordan Valley: Are water pricing policies overly optimistic?","volume":"95","author":[{"family":"Molle","given":"François"},{"family":"Venot","given":"Jean-Philippe"},{"family":"Hassan","given":"Youssef"}],"issued":{"date-parts":[["2008"]]}}}],"schema":"https://github.com/citation-style-language/schema/raw/master/csl-citation.json"} </w:instrText>
      </w:r>
      <w:r w:rsidR="00E56620">
        <w:rPr>
          <w:rFonts w:cstheme="minorHAnsi"/>
        </w:rPr>
        <w:fldChar w:fldCharType="separate"/>
      </w:r>
      <w:r w:rsidR="00E56620" w:rsidRPr="00E56620">
        <w:rPr>
          <w:rFonts w:ascii="Calibri" w:hAnsi="Calibri" w:cs="Calibri"/>
        </w:rPr>
        <w:t>(Han &amp; Zhao, 2007; Molle et al., 2008)</w:t>
      </w:r>
      <w:r w:rsidR="00E56620">
        <w:rPr>
          <w:rFonts w:cstheme="minorHAnsi"/>
        </w:rPr>
        <w:fldChar w:fldCharType="end"/>
      </w:r>
      <w:r w:rsidR="00E56620">
        <w:rPr>
          <w:rFonts w:cstheme="minorHAnsi"/>
        </w:rPr>
        <w:t>.</w:t>
      </w:r>
      <w:r w:rsidR="008A785E">
        <w:rPr>
          <w:rFonts w:cstheme="minorHAnsi"/>
        </w:rPr>
        <w:t xml:space="preserve"> Simultaneously, other studies have observed that appropriate water policies causing differential water tariffs for relevant consumer groups may bring about the relevant decrease in irrigation water consumption</w:t>
      </w:r>
      <w:r w:rsidR="008F0940">
        <w:rPr>
          <w:rFonts w:cstheme="minorHAnsi"/>
        </w:rPr>
        <w:t xml:space="preserve"> </w:t>
      </w:r>
      <w:r w:rsidR="008F0940">
        <w:rPr>
          <w:rFonts w:cstheme="minorHAnsi"/>
        </w:rPr>
        <w:fldChar w:fldCharType="begin"/>
      </w:r>
      <w:r w:rsidR="008F0940">
        <w:rPr>
          <w:rFonts w:cstheme="minorHAnsi"/>
        </w:rPr>
        <w:instrText xml:space="preserve"> ADDIN ZOTERO_ITEM CSL_CITATION {"citationID":"uirAndze","properties":{"formattedCitation":"(G\\uc0\\u243{}mez\\uc0\\u8208{}Lim\\uc0\\u243{}n &amp; Riesgo, 2004; Qdais &amp; Al Nassay, 2001)","plainCitation":"(Gómez‐Limón &amp; Riesgo, 2004; Qdais &amp; Al Nassay, 2001)","noteIndex":0},"citationItems":[{"id":326,"uris":["http://zotero.org/users/local/LupjHtya/items/73676F6S"],"uri":["http://zotero.org/users/local/LupjHtya/items/73676F6S"],"itemData":{"id":326,"type":"article-journal","container-title":"Agricultural economics","ISSN":"0169-5150","issue":"1","journalAbbreviation":"Agricultural economics","note":"publisher: Wiley Online Library","page":"47-66","title":"Irrigation water pricing: differential impacts on irrigated farms","volume":"31","author":[{"family":"Gómez‐Limón","given":"Jose A"},{"family":"Riesgo","given":"Laura"}],"issued":{"date-parts":[["2004"]]}}},{"id":327,"uris":["http://zotero.org/users/local/LupjHtya/items/62FB9BSL"],"uri":["http://zotero.org/users/local/LupjHtya/items/62FB9BSL"],"itemData":{"id":327,"type":"article-journal","container-title":"Water Policy","ISSN":"1366-7017","issue":"3","journalAbbreviation":"Water Policy","note":"publisher: Elsevier","page":"207-214","title":"Effect of pricing policy on water conservation: a case study","volume":"3","author":[{"family":"Qdais","given":"HA Abu"},{"family":"Al Nassay","given":"HI"}],"issued":{"date-parts":[["2001"]]}}}],"schema":"https://github.com/citation-style-language/schema/raw/master/csl-citation.json"} </w:instrText>
      </w:r>
      <w:r w:rsidR="008F0940">
        <w:rPr>
          <w:rFonts w:cstheme="minorHAnsi"/>
        </w:rPr>
        <w:fldChar w:fldCharType="separate"/>
      </w:r>
      <w:r w:rsidR="008F0940" w:rsidRPr="008F0940">
        <w:rPr>
          <w:rFonts w:ascii="Calibri" w:hAnsi="Calibri" w:cs="Calibri"/>
          <w:szCs w:val="24"/>
        </w:rPr>
        <w:t>(Gómez‐Limón &amp; Riesgo, 2004; Qdais &amp; Al Nassay, 2001)</w:t>
      </w:r>
      <w:r w:rsidR="008F0940">
        <w:rPr>
          <w:rFonts w:cstheme="minorHAnsi"/>
        </w:rPr>
        <w:fldChar w:fldCharType="end"/>
      </w:r>
      <w:r w:rsidR="008F0940">
        <w:rPr>
          <w:rFonts w:cstheme="minorHAnsi"/>
        </w:rPr>
        <w:t xml:space="preserve">. </w:t>
      </w:r>
    </w:p>
    <w:p w14:paraId="4E3D78D3" w14:textId="77777777" w:rsidR="005A43C4" w:rsidRDefault="005A43C4" w:rsidP="00327C6D">
      <w:pPr>
        <w:autoSpaceDE w:val="0"/>
        <w:autoSpaceDN w:val="0"/>
        <w:adjustRightInd w:val="0"/>
        <w:spacing w:after="0" w:line="240" w:lineRule="auto"/>
        <w:rPr>
          <w:rFonts w:cstheme="minorHAnsi"/>
        </w:rPr>
      </w:pPr>
    </w:p>
    <w:p w14:paraId="27512014" w14:textId="7626CC89" w:rsidR="00D9756A" w:rsidRDefault="005A43C4" w:rsidP="00576247">
      <w:pPr>
        <w:autoSpaceDE w:val="0"/>
        <w:autoSpaceDN w:val="0"/>
        <w:adjustRightInd w:val="0"/>
        <w:spacing w:line="240" w:lineRule="auto"/>
        <w:rPr>
          <w:rFonts w:cstheme="minorHAnsi"/>
        </w:rPr>
      </w:pPr>
      <w:r>
        <w:rPr>
          <w:rFonts w:cstheme="minorHAnsi"/>
        </w:rPr>
        <w:t>In this paper, we undertake an assessment at the national level to determine the implications of a reduced irrigation subsidy policy on crop cultivation and land-use patterns in India using a dy</w:t>
      </w:r>
      <w:r w:rsidR="00BB1807">
        <w:rPr>
          <w:rFonts w:cstheme="minorHAnsi"/>
        </w:rPr>
        <w:t>namic partial equilibrium model for agricultural production and its impact on the economy (MAgPIE).</w:t>
      </w:r>
      <w:r>
        <w:rPr>
          <w:rFonts w:cstheme="minorHAnsi"/>
        </w:rPr>
        <w:t xml:space="preserve"> </w:t>
      </w:r>
      <w:r w:rsidR="00782166" w:rsidRPr="00782166">
        <w:rPr>
          <w:rFonts w:cstheme="minorHAnsi"/>
        </w:rPr>
        <w:t xml:space="preserve">MAgPIE is a </w:t>
      </w:r>
      <w:r w:rsidR="00913149">
        <w:rPr>
          <w:rFonts w:cstheme="minorHAnsi"/>
        </w:rPr>
        <w:t xml:space="preserve">nonlinear </w:t>
      </w:r>
      <w:r w:rsidR="00782166" w:rsidRPr="00782166">
        <w:rPr>
          <w:rFonts w:cstheme="minorHAnsi"/>
        </w:rPr>
        <w:t xml:space="preserve">recursive dynamic </w:t>
      </w:r>
      <w:r w:rsidR="00913149">
        <w:rPr>
          <w:rFonts w:cstheme="minorHAnsi"/>
        </w:rPr>
        <w:t>optimization</w:t>
      </w:r>
      <w:r w:rsidR="00782166" w:rsidRPr="00782166">
        <w:rPr>
          <w:rFonts w:cstheme="minorHAnsi"/>
        </w:rPr>
        <w:t xml:space="preserve"> model</w:t>
      </w:r>
      <w:r w:rsidR="00C131E1">
        <w:rPr>
          <w:rFonts w:cstheme="minorHAnsi"/>
        </w:rPr>
        <w:t xml:space="preserve"> </w:t>
      </w:r>
      <w:r w:rsidR="00C131E1">
        <w:rPr>
          <w:rFonts w:cstheme="minorHAnsi"/>
        </w:rPr>
        <w:fldChar w:fldCharType="begin"/>
      </w:r>
      <w:r w:rsidR="00102743">
        <w:rPr>
          <w:rFonts w:cstheme="minorHAnsi"/>
        </w:rPr>
        <w:instrText xml:space="preserve"> ADDIN ZOTERO_ITEM CSL_CITATION {"citationID":"k7BKd8UJ","properties":{"formattedCitation":"(Dietrich et al., 2012, 2014; Lotze-campen et al., 2008)","plainCitation":"(Dietrich et al., 2012, 2014; Lotze-campen et al., 2008)","dontUpdate":true,"noteIndex":0},"citationItems":[{"id":34,"uris":["http://zotero.org/users/local/LupjHtya/items/FX573Z2N"],"uri":["http://zotero.org/users/local/LupjHtya/items/FX573Z2N"],"itemData":{"id":34,"type":"article-journal","abstract":"Human activities such as research &amp; development, infrastructure or management are of major importance for agricultural productivity. These activities can be summarized as agricultural land-use intensity. We present a measure, called the . τ-factor, which is an alternative to current measures for agricultural land-use intensity. The . τ-factor is the ratio between actual yield and a reference yield under well defined management and technology conditions. By taking this ratio, the physical component (soils, climate), which is equal in both terms, is removed. We analyze global patterns of agricultural land-use intensity for 10 world regions and 12 crops, employing reference yields as computed with a global crop growth model for the year 2000. We show that parts of Russia, Asia and especially Africa had low agricultural land-use intensities, whereas the Eastern US, Western Europe and parts of China had high agricultural land-use intensities in 2000. Our presented measure of land use intensity is a useful alternative to existing measures, since it is independent of socio-economic data and allows for quantitative analysis. © 2012 Elsevier B.V.","container-title":"Ecological Modelling","DOI":"10.1016/j.ecolmodel.2012.03.002","note":"publisher: Elsevier B.V.","page":"109-118","title":"Measuring agricultural land-use intensity - A global analysis using a model-assisted approach","volume":"232","author":[{"family":"Dietrich","given":"Jan Philipp"},{"family":"Schmitz","given":"Christoph"},{"family":"Müller","given":"Christoph"},{"family":"Fader","given":"Marianela"},{"family":"Lotze-Campen","given":"Hermann"},{"family":"Popp","given":"Alexander"}],"issued":{"date-parts":[["2012"]]}}},{"id":192,"uris":["http://zotero.org/users/local/LupjHtya/items/D664BAJU"],"uri":["http://zotero.org/users/local/LupjHtya/items/D664BAJU"],"itemData":{"id":192,"type":"article-journal","abstract":"Technological change in agriculture plays a decisive role for meeting future demands for agricultural goods. However, up to now, agricultural sector models and models on land use change have used technological change as an exogenous input due to various information and data deficiencies. This paper provides a first attempt towards an endogenous implementation based on a measure of agricultural land use intensity. We relate this measure to empirical data on investments in technological change. Our estimated yield elasticity with respect to research investments is 0.29 and production costs per area increase linearly with an increasing yield level. Implemented in the global land use model MAgPIE (\"Model of Agricultural Production and its Impact on the Environment\") this approach provides estimates of future yield growth.Highest future yield increases are required in Sub-Saharan Africa, the Middle East and South Asia. Our validation with FAO data for the period 1995-2005 indicates that the model behavior is in line with observations. By comparing two scenarios on forest conservation we show that protecting sensitive forest areas in the future is possible but requires substantial investments into technological change. © 2013 Elsevier Inc.","container-title":"Technological Forecasting and Social Change","DOI":"10.1016/j.techfore.2013.02.003","issue":"1","note":"publisher: Elsevier Inc.","page":"236-249","title":"Forecasting technological change in agriculture-An endogenous implementation in a global land use model","volume":"81","author":[{"family":"Dietrich","given":"Jan Philipp"},{"family":"Schmitz","given":"Christoph"},{"family":"Lotze-Campen","given":"Hermann"},{"family":"Popp","given":"Alexander"},{"family":"Müller","given":"Christoph"}],"issued":{"date-parts":[["2014"]]}}},{"id":32,"uris":["http://zotero.org/users/local/LupjHtya/items/Q7C9KCU8"],"uri":["http://zotero.org/users/local/LupjHtya/items/Q7C9KCU8"],"itemData":{"id":32,"type":"article-journal","container-title":"Agricultural Economics","issue":"3","page":"325-338","title":"Global food demand, productivity growth, and the scarcity of land and water resources: a spatially expliciti mathematical programming approach","volume":"39","author":[{"family":"Lotze-campen","given":"Hermann"},{"family":"Müller","given":"Christoph"},{"family":"Bondeau","given":"Alberte"},{"family":"Rost","given":"Stefanie"},{"family":"Alexander","given":"Popp"},{"family":"Lucht","given":"Wolfgang"}],"issued":{"date-parts":[["2008"]]}}}],"schema":"https://github.com/citation-style-language/schema/raw/master/csl-citation.json"} </w:instrText>
      </w:r>
      <w:r w:rsidR="00C131E1">
        <w:rPr>
          <w:rFonts w:cstheme="minorHAnsi"/>
        </w:rPr>
        <w:fldChar w:fldCharType="separate"/>
      </w:r>
      <w:r w:rsidR="00314CEE">
        <w:rPr>
          <w:rFonts w:ascii="Calibri" w:hAnsi="Calibri" w:cs="Calibri"/>
        </w:rPr>
        <w:t>(</w:t>
      </w:r>
      <w:r w:rsidR="007447D1" w:rsidRPr="007447D1">
        <w:rPr>
          <w:rFonts w:ascii="Calibri" w:hAnsi="Calibri" w:cs="Calibri"/>
        </w:rPr>
        <w:t>Lotze-campen et al., 2008)</w:t>
      </w:r>
      <w:r w:rsidR="00C131E1">
        <w:rPr>
          <w:rFonts w:cstheme="minorHAnsi"/>
        </w:rPr>
        <w:fldChar w:fldCharType="end"/>
      </w:r>
      <w:r w:rsidR="00782166" w:rsidRPr="00782166">
        <w:rPr>
          <w:rFonts w:cstheme="minorHAnsi"/>
        </w:rPr>
        <w:t>.</w:t>
      </w:r>
      <w:r w:rsidR="00576247">
        <w:rPr>
          <w:rFonts w:cstheme="minorHAnsi"/>
        </w:rPr>
        <w:t xml:space="preserve"> </w:t>
      </w:r>
      <w:r w:rsidR="00782166" w:rsidRPr="00782166">
        <w:rPr>
          <w:rFonts w:cstheme="minorHAnsi"/>
        </w:rPr>
        <w:t>The model simulates crop production, land-use patterns and water use for irrigation at a spatial</w:t>
      </w:r>
      <w:r w:rsidR="00782166">
        <w:rPr>
          <w:rFonts w:cstheme="minorHAnsi"/>
        </w:rPr>
        <w:t xml:space="preserve"> </w:t>
      </w:r>
      <w:r w:rsidR="00782166" w:rsidRPr="00782166">
        <w:rPr>
          <w:rFonts w:cstheme="minorHAnsi"/>
        </w:rPr>
        <w:t>resolution of 0.5◦ × 0.5 ◦</w:t>
      </w:r>
      <w:r w:rsidR="00576247">
        <w:rPr>
          <w:rFonts w:cstheme="minorHAnsi"/>
        </w:rPr>
        <w:t xml:space="preserve">, </w:t>
      </w:r>
      <w:r w:rsidR="00576247">
        <w:rPr>
          <w:rFonts w:cstheme="minorHAnsi"/>
        </w:rPr>
        <w:lastRenderedPageBreak/>
        <w:t xml:space="preserve">biophysical inputs for which, including potential crop productivity and constraints are taken from the </w:t>
      </w:r>
      <w:r w:rsidR="00576247" w:rsidRPr="00576247">
        <w:rPr>
          <w:rFonts w:cstheme="minorHAnsi"/>
        </w:rPr>
        <w:t>Lund-Potsdam-Jena dynamic global vegetation</w:t>
      </w:r>
      <w:r w:rsidR="00576247">
        <w:rPr>
          <w:rFonts w:cstheme="minorHAnsi"/>
        </w:rPr>
        <w:t xml:space="preserve"> </w:t>
      </w:r>
      <w:r w:rsidR="00576247" w:rsidRPr="00576247">
        <w:rPr>
          <w:rFonts w:cstheme="minorHAnsi"/>
        </w:rPr>
        <w:t>and water balance model with managed Land (</w:t>
      </w:r>
      <w:proofErr w:type="spellStart"/>
      <w:r w:rsidR="007447D1">
        <w:rPr>
          <w:rFonts w:cstheme="minorHAnsi"/>
        </w:rPr>
        <w:t>LPJmL</w:t>
      </w:r>
      <w:proofErr w:type="spellEnd"/>
      <w:r w:rsidR="00576247" w:rsidRPr="00576247">
        <w:rPr>
          <w:rFonts w:cstheme="minorHAnsi"/>
        </w:rPr>
        <w:t>)</w:t>
      </w:r>
      <w:r w:rsidR="00576247">
        <w:rPr>
          <w:rFonts w:cstheme="minorHAnsi"/>
        </w:rPr>
        <w:t xml:space="preserve"> for every grid cell</w:t>
      </w:r>
      <w:r w:rsidR="00C131E1">
        <w:rPr>
          <w:rFonts w:cstheme="minorHAnsi"/>
        </w:rPr>
        <w:t xml:space="preserve"> </w:t>
      </w:r>
      <w:r w:rsidR="00C131E1">
        <w:rPr>
          <w:rFonts w:cstheme="minorHAnsi"/>
        </w:rPr>
        <w:fldChar w:fldCharType="begin"/>
      </w:r>
      <w:r w:rsidR="00C131E1">
        <w:rPr>
          <w:rFonts w:cstheme="minorHAnsi"/>
        </w:rPr>
        <w:instrText xml:space="preserve"> ADDIN ZOTERO_ITEM CSL_CITATION {"citationID":"D7t51VuG","properties":{"formattedCitation":"(Bondeau et al., 2007)","plainCitation":"(Bondeau et al., 2007)","noteIndex":0},"citationItems":[{"id":26,"uris":["http://zotero.org/users/local/LupjHtya/items/JDIQBSV9"],"uri":["http://zotero.org/users/local/LupjHtya/items/JDIQBSV9"],"itemData":{"id":26,"type":"article-journal","abstract":"In order to better assess the role of agriculture within the global climate-vegetation system, we present a model of the managed planetary land surface, Lund-Potsdam-Jena managed Land (LPJmL), which simulates biophysical and biogeochemical processes as well as productivity and yield of the most important crops worldwide, using a concept of crop functional types (CFTs). Based on the LPJ-Dynamic Global Vegetation Model, LPJmL simulates the transient changes in carbon and water cycles due to land use, the specific phenology and seasonal CO2 fluxes of agricultural-dominated areas, and the production of crops and grazing land. It uses 13 CFTs (11 arable crops and two managed grass types), with specific parameterizations of phenology connected to leaf area development. Carbon is allocated daily towards four carbon pools, one being the yield-bearing storage organs. Management (irrigation, treatment of residues, intercropping) can be considered in order to capture their effect on productivity, on soil organic carbon and on carbon extracted from the ecosystem. For transient simulations for the 20th century, a global historical land use data set was developed, providing the annual cover fraction of the 13 CFTs, rain-fed and/or irrigated, within 0.5 degrees grid cells for the period 1901-2000, using published data on land use, crop distributions and irrigated areas. Several key results are compared with observations. The simulated spatial distribution of sowing dates for temperate cereals is comparable with the reported crop calendars. The simulated seasonal canopy development agrees better with satellite observations when actual cropland distribution is taken into account. Simulated yields for temperate cereals and maize compare well with FAO statistics. Monthly carbon fluxes measured at three agricultural sites also compare well with simulations. Global simulations indicate a similar to 24% (respectively similar to 10%) reduction in global vegetation (respectively soil) carbon due to agriculture, and 6-9 Pg C of yearly harvested biomass in the 1990s. In contrast to simulations of the potential natural vegetation showing the land biosphere to be an increasing carbon sink during the 20th century, LPJmL simulates a net carbon source until the 1970s (due to land use), and a small sink (mostly due to changing climate and CO2) after 1970. This is comparable with earlier LPJ simulations using a more simple land use scheme, and within the uncertainty range of estimates in the 1980s and 1990s. The fluxes attributed to land use change compare well with Houghton's estimates on the land use related fluxes until the 1970s, but then they begin to diverge, probably due to the different rates of deforestation considered. The simulated impacts of agriculture on the global water cycle for the 1990s are similar to 5% (respectively similar to 20%) reduction in transpiration (respectively interception), and similar to 44% increase in evaporation. Global runoff, which includes a simple irrigation scheme, is practically not affected.","container-title":"Global Change Biology","DOI":"10.1111/j.1365-2486.2006.01305.x","issue":"3","page":"679-706","title":"Modelling the role of agriculture for the 20th century global terrestrial carbon balance","volume":"13","author":[{"family":"Bondeau","given":"Alberte"},{"family":"Smith","given":"Pascalle C."},{"family":"Zaehle","given":"Sönke"},{"family":"Schaphoff","given":"Sibyll"},{"family":"Lucht","given":"Wolfgang"},{"family":"Cramer","given":"Wolfgang"},{"family":"Gerten","given":"Dieter"},{"family":"Lotze-campen","given":"Hermann"},{"family":"Müller","given":"Christoph"},{"family":"Reichstein","given":"Markus"},{"family":"Smith","given":"Benjamin"}],"issued":{"date-parts":[["2007"]]}}}],"schema":"https://github.com/citation-style-language/schema/raw/master/csl-citation.json"} </w:instrText>
      </w:r>
      <w:r w:rsidR="00C131E1">
        <w:rPr>
          <w:rFonts w:cstheme="minorHAnsi"/>
        </w:rPr>
        <w:fldChar w:fldCharType="separate"/>
      </w:r>
      <w:r w:rsidR="00C131E1" w:rsidRPr="00C131E1">
        <w:rPr>
          <w:rFonts w:ascii="Calibri" w:hAnsi="Calibri" w:cs="Calibri"/>
        </w:rPr>
        <w:t>(Bondeau et al., 2007)</w:t>
      </w:r>
      <w:r w:rsidR="00C131E1">
        <w:rPr>
          <w:rFonts w:cstheme="minorHAnsi"/>
        </w:rPr>
        <w:fldChar w:fldCharType="end"/>
      </w:r>
      <w:r w:rsidR="00576247" w:rsidRPr="00576247">
        <w:rPr>
          <w:rFonts w:cstheme="minorHAnsi"/>
        </w:rPr>
        <w:t>.</w:t>
      </w:r>
      <w:r w:rsidR="00782166" w:rsidRPr="00782166">
        <w:rPr>
          <w:rFonts w:cstheme="minorHAnsi"/>
        </w:rPr>
        <w:t xml:space="preserve"> </w:t>
      </w:r>
      <w:proofErr w:type="spellStart"/>
      <w:r w:rsidR="007447D1">
        <w:rPr>
          <w:rFonts w:cstheme="minorHAnsi"/>
        </w:rPr>
        <w:t>LPJmL</w:t>
      </w:r>
      <w:proofErr w:type="spellEnd"/>
      <w:r w:rsidR="001F3E9A">
        <w:rPr>
          <w:rFonts w:cstheme="minorHAnsi"/>
        </w:rPr>
        <w:t xml:space="preserve"> covers surface and sub-surface water flows, without an explicit distinction of groundwater, as carbon and water-related processes are closely linked in plant physiology. </w:t>
      </w:r>
      <w:r w:rsidR="00782166" w:rsidRPr="00782166">
        <w:rPr>
          <w:rFonts w:cstheme="minorHAnsi"/>
        </w:rPr>
        <w:t xml:space="preserve">An additional feature of this model is the inclusion of interregional </w:t>
      </w:r>
      <w:r w:rsidR="00782166">
        <w:rPr>
          <w:rFonts w:cstheme="minorHAnsi"/>
        </w:rPr>
        <w:t xml:space="preserve">trade between 12 world regions. </w:t>
      </w:r>
      <w:r w:rsidR="00D9756A">
        <w:rPr>
          <w:rFonts w:cstheme="minorHAnsi"/>
        </w:rPr>
        <w:t xml:space="preserve">In this model, crop production is determined by various factors, </w:t>
      </w:r>
      <w:r w:rsidR="007447D1">
        <w:rPr>
          <w:rFonts w:cstheme="minorHAnsi"/>
        </w:rPr>
        <w:t xml:space="preserve">one of which is “factor costs” and we use these factor costs to vary the prices faced by water consumers for agriculture. </w:t>
      </w:r>
    </w:p>
    <w:p w14:paraId="6E48688B" w14:textId="77777777" w:rsidR="004D7D20" w:rsidRPr="004D7D20" w:rsidRDefault="004D7D20" w:rsidP="004D7D20">
      <w:pPr>
        <w:autoSpaceDE w:val="0"/>
        <w:autoSpaceDN w:val="0"/>
        <w:adjustRightInd w:val="0"/>
        <w:spacing w:after="0" w:line="240" w:lineRule="auto"/>
        <w:rPr>
          <w:rFonts w:cstheme="minorHAnsi"/>
          <w:b/>
          <w:sz w:val="24"/>
        </w:rPr>
      </w:pPr>
      <w:r w:rsidRPr="004D7D20">
        <w:rPr>
          <w:rFonts w:cstheme="minorHAnsi"/>
          <w:b/>
          <w:sz w:val="24"/>
        </w:rPr>
        <w:t xml:space="preserve">Model setup and assumptions </w:t>
      </w:r>
    </w:p>
    <w:p w14:paraId="6ADF8F0F" w14:textId="77777777" w:rsidR="004D7D20" w:rsidRDefault="004D7D20" w:rsidP="004D7D20">
      <w:pPr>
        <w:autoSpaceDE w:val="0"/>
        <w:autoSpaceDN w:val="0"/>
        <w:adjustRightInd w:val="0"/>
        <w:spacing w:after="0" w:line="240" w:lineRule="auto"/>
        <w:rPr>
          <w:rFonts w:cstheme="minorHAnsi"/>
          <w:b/>
        </w:rPr>
      </w:pPr>
    </w:p>
    <w:p w14:paraId="1D802850" w14:textId="138F404B" w:rsidR="00D9756A" w:rsidRDefault="000C18AE" w:rsidP="00D9756A">
      <w:pPr>
        <w:autoSpaceDE w:val="0"/>
        <w:autoSpaceDN w:val="0"/>
        <w:adjustRightInd w:val="0"/>
        <w:spacing w:line="240" w:lineRule="auto"/>
        <w:rPr>
          <w:rFonts w:cstheme="minorHAnsi"/>
        </w:rPr>
      </w:pPr>
      <w:r>
        <w:rPr>
          <w:rFonts w:cstheme="minorHAnsi"/>
        </w:rPr>
        <w:t>In the</w:t>
      </w:r>
      <w:r w:rsidR="00D9756A" w:rsidRPr="00D9756A">
        <w:rPr>
          <w:rFonts w:cstheme="minorHAnsi"/>
        </w:rPr>
        <w:t xml:space="preserve"> </w:t>
      </w:r>
      <w:r w:rsidR="00DD6730">
        <w:rPr>
          <w:rFonts w:cstheme="minorHAnsi"/>
        </w:rPr>
        <w:t>model</w:t>
      </w:r>
      <w:r>
        <w:rPr>
          <w:rFonts w:cstheme="minorHAnsi"/>
        </w:rPr>
        <w:t xml:space="preserve">, </w:t>
      </w:r>
      <w:r w:rsidR="00D9756A" w:rsidRPr="00D9756A">
        <w:rPr>
          <w:rFonts w:cstheme="minorHAnsi"/>
        </w:rPr>
        <w:t xml:space="preserve">factors costs depend on area harvested and agricultural land use intensity and corresponding average production volumes. Consequently, factor costs react on both: area under </w:t>
      </w:r>
      <w:r w:rsidR="00314CEE">
        <w:rPr>
          <w:rFonts w:cstheme="minorHAnsi"/>
        </w:rPr>
        <w:t>p</w:t>
      </w:r>
      <w:r w:rsidR="00D9756A" w:rsidRPr="00D9756A">
        <w:rPr>
          <w:rFonts w:cstheme="minorHAnsi"/>
        </w:rPr>
        <w:t>roduction and average productivity of a region as captured by the </w:t>
      </w:r>
      <w:r w:rsidR="00D9756A" w:rsidRPr="000C18AE">
        <w:rPr>
          <w:rFonts w:cstheme="minorHAnsi"/>
          <w:sz w:val="28"/>
        </w:rPr>
        <w:t>τ</w:t>
      </w:r>
      <w:r w:rsidR="00D9756A" w:rsidRPr="00D9756A">
        <w:rPr>
          <w:rFonts w:cstheme="minorHAnsi"/>
        </w:rPr>
        <w:t> factor. A detailed description of the approach can be found in </w:t>
      </w:r>
      <w:r w:rsidR="00DD6730">
        <w:rPr>
          <w:rFonts w:cstheme="minorHAnsi"/>
        </w:rPr>
        <w:fldChar w:fldCharType="begin"/>
      </w:r>
      <w:r w:rsidR="00DD6730">
        <w:rPr>
          <w:rFonts w:cstheme="minorHAnsi"/>
        </w:rPr>
        <w:instrText xml:space="preserve"> ADDIN ZOTERO_ITEM CSL_CITATION {"citationID":"cwxKbnLb","properties":{"formattedCitation":"(Dietrich et al., 2014)","plainCitation":"(Dietrich et al., 2014)","noteIndex":0},"citationItems":[{"id":192,"uris":["http://zotero.org/users/local/LupjHtya/items/D664BAJU"],"uri":["http://zotero.org/users/local/LupjHtya/items/D664BAJU"],"itemData":{"id":192,"type":"article-journal","abstract":"Technological change in agriculture plays a decisive role for meeting future demands for agricultural goods. However, up to now, agricultural sector models and models on land use change have used technological change as an exogenous input due to various information and data deficiencies. This paper provides a first attempt towards an endogenous implementation based on a measure of agricultural land use intensity. We relate this measure to empirical data on investments in technological change. Our estimated yield elasticity with respect to research investments is 0.29 and production costs per area increase linearly with an increasing yield level. Implemented in the global land use model MAgPIE (\"Model of Agricultural Production and its Impact on the Environment\") this approach provides estimates of future yield growth.Highest future yield increases are required in Sub-Saharan Africa, the Middle East and South Asia. Our validation with FAO data for the period 1995-2005 indicates that the model behavior is in line with observations. By comparing two scenarios on forest conservation we show that protecting sensitive forest areas in the future is possible but requires substantial investments into technological change. © 2013 Elsevier Inc.","container-title":"Technological Forecasting and Social Change","DOI":"10.1016/j.techfore.2013.02.003","issue":"1","note":"publisher: Elsevier Inc.","page":"236-249","title":"Forecasting technological change in agriculture-An endogenous implementation in a global land use model","volume":"81","author":[{"family":"Dietrich","given":"Jan Philipp"},{"family":"Schmitz","given":"Christoph"},{"family":"Lotze-Campen","given":"Hermann"},{"family":"Popp","given":"Alexander"},{"family":"Müller","given":"Christoph"}],"issued":{"date-parts":[["2014"]]}}}],"schema":"https://github.com/citation-style-language/schema/raw/master/csl-citation.json"} </w:instrText>
      </w:r>
      <w:r w:rsidR="00DD6730">
        <w:rPr>
          <w:rFonts w:cstheme="minorHAnsi"/>
        </w:rPr>
        <w:fldChar w:fldCharType="separate"/>
      </w:r>
      <w:r w:rsidR="00DD6730" w:rsidRPr="00DD6730">
        <w:rPr>
          <w:rFonts w:ascii="Calibri" w:hAnsi="Calibri" w:cs="Calibri"/>
        </w:rPr>
        <w:t>(Dietrich et al., 2014)</w:t>
      </w:r>
      <w:r w:rsidR="00DD6730">
        <w:rPr>
          <w:rFonts w:cstheme="minorHAnsi"/>
        </w:rPr>
        <w:fldChar w:fldCharType="end"/>
      </w:r>
      <w:r w:rsidR="00AD0DD5">
        <w:rPr>
          <w:rFonts w:cstheme="minorHAnsi"/>
        </w:rPr>
        <w:t xml:space="preserve"> </w:t>
      </w:r>
      <w:r w:rsidR="00D9756A" w:rsidRPr="00D9756A">
        <w:rPr>
          <w:rFonts w:cstheme="minorHAnsi"/>
        </w:rPr>
        <w:t>with background information about the used intensity measure in </w:t>
      </w:r>
      <w:r w:rsidR="00DD6730">
        <w:rPr>
          <w:rFonts w:cstheme="minorHAnsi"/>
        </w:rPr>
        <w:fldChar w:fldCharType="begin"/>
      </w:r>
      <w:r w:rsidR="00DD6730">
        <w:rPr>
          <w:rFonts w:cstheme="minorHAnsi"/>
        </w:rPr>
        <w:instrText xml:space="preserve"> ADDIN ZOTERO_ITEM CSL_CITATION {"citationID":"icHTGM8A","properties":{"formattedCitation":"(Dietrich et al., 2012)","plainCitation":"(Dietrich et al., 2012)","noteIndex":0},"citationItems":[{"id":34,"uris":["http://zotero.org/users/local/LupjHtya/items/FX573Z2N"],"uri":["http://zotero.org/users/local/LupjHtya/items/FX573Z2N"],"itemData":{"id":34,"type":"article-journal","abstract":"Human activities such as research &amp; development, infrastructure or management are of major importance for agricultural productivity. These activities can be summarized as agricultural land-use intensity. We present a measure, called the . τ-factor, which is an alternative to current measures for agricultural land-use intensity. The . τ-factor is the ratio between actual yield and a reference yield under well defined management and technology conditions. By taking this ratio, the physical component (soils, climate), which is equal in both terms, is removed. We analyze global patterns of agricultural land-use intensity for 10 world regions and 12 crops, employing reference yields as computed with a global crop growth model for the year 2000. We show that parts of Russia, Asia and especially Africa had low agricultural land-use intensities, whereas the Eastern US, Western Europe and parts of China had high agricultural land-use intensities in 2000. Our presented measure of land use intensity is a useful alternative to existing measures, since it is independent of socio-economic data and allows for quantitative analysis. © 2012 Elsevier B.V.","container-title":"Ecological Modelling","DOI":"10.1016/j.ecolmodel.2012.03.002","note":"publisher: Elsevier B.V.","page":"109-118","title":"Measuring agricultural land-use intensity - A global analysis using a model-assisted approach","volume":"232","author":[{"family":"Dietrich","given":"Jan Philipp"},{"family":"Schmitz","given":"Christoph"},{"family":"Müller","given":"Christoph"},{"family":"Fader","given":"Marianela"},{"family":"Lotze-Campen","given":"Hermann"},{"family":"Popp","given":"Alexander"}],"issued":{"date-parts":[["2012"]]}}}],"schema":"https://github.com/citation-style-language/schema/raw/master/csl-citation.json"} </w:instrText>
      </w:r>
      <w:r w:rsidR="00DD6730">
        <w:rPr>
          <w:rFonts w:cstheme="minorHAnsi"/>
        </w:rPr>
        <w:fldChar w:fldCharType="separate"/>
      </w:r>
      <w:r w:rsidR="00DD6730" w:rsidRPr="00DD6730">
        <w:rPr>
          <w:rFonts w:ascii="Calibri" w:hAnsi="Calibri" w:cs="Calibri"/>
        </w:rPr>
        <w:t>(Dietrich et al., 2012)</w:t>
      </w:r>
      <w:r w:rsidR="00DD6730">
        <w:rPr>
          <w:rFonts w:cstheme="minorHAnsi"/>
        </w:rPr>
        <w:fldChar w:fldCharType="end"/>
      </w:r>
      <w:r w:rsidR="00D9756A" w:rsidRPr="00D9756A">
        <w:rPr>
          <w:rFonts w:cstheme="minorHAnsi"/>
        </w:rPr>
        <w:t>.</w:t>
      </w:r>
      <w:r w:rsidR="00304978">
        <w:rPr>
          <w:rFonts w:cstheme="minorHAnsi"/>
        </w:rPr>
        <w:t xml:space="preserve"> Factor costs therefore, can be explained by the following equation: </w:t>
      </w:r>
    </w:p>
    <w:p w14:paraId="79A2416D" w14:textId="60B4FE0A" w:rsidR="004C5112" w:rsidRDefault="004C5112" w:rsidP="00D9756A">
      <w:pPr>
        <w:autoSpaceDE w:val="0"/>
        <w:autoSpaceDN w:val="0"/>
        <w:adjustRightInd w:val="0"/>
        <w:spacing w:line="240" w:lineRule="auto"/>
        <w:rPr>
          <w:rFonts w:cstheme="minorHAnsi"/>
        </w:rPr>
      </w:pPr>
    </w:p>
    <w:p w14:paraId="1A82A0D3" w14:textId="74AAAD11" w:rsidR="004C5112" w:rsidRPr="004C5112" w:rsidRDefault="004C5112" w:rsidP="00D9756A">
      <w:pPr>
        <w:autoSpaceDE w:val="0"/>
        <w:autoSpaceDN w:val="0"/>
        <w:adjustRightInd w:val="0"/>
        <w:spacing w:line="240" w:lineRule="auto"/>
        <w:rPr>
          <w:rFonts w:cstheme="minorHAnsi"/>
        </w:rPr>
      </w:pPr>
      <m:oMathPara>
        <m:oMathParaPr>
          <m:jc m:val="center"/>
        </m:oMathParaPr>
        <m:oMath>
          <m:r>
            <w:rPr>
              <w:rFonts w:ascii="Cambria Math" w:hAnsi="Cambria Math" w:cstheme="minorHAnsi"/>
            </w:rPr>
            <m:t>vm_cost_prod(i2,kcr)</m:t>
          </m:r>
          <w:bookmarkStart w:id="0" w:name="_GoBack"/>
          <w:bookmarkEnd w:id="0"/>
          <m:r>
            <w:rPr>
              <w:rFonts w:ascii="Cambria Math" w:hAnsi="Cambria Math" w:cstheme="minorHAnsi"/>
            </w:rPr>
            <m:t>=</m:t>
          </m:r>
          <m:nary>
            <m:naryPr>
              <m:chr m:val="∑"/>
              <m:grow m:val="1"/>
              <m:ctrlPr>
                <w:rPr>
                  <w:rFonts w:ascii="Cambria Math" w:hAnsi="Cambria Math" w:cstheme="minorHAnsi"/>
                </w:rPr>
              </m:ctrlPr>
            </m:naryPr>
            <m:sub>
              <m:r>
                <w:rPr>
                  <w:rFonts w:ascii="Cambria Math" w:hAnsi="Cambria Math" w:cstheme="minorHAnsi"/>
                </w:rPr>
                <m:t>cell</m:t>
              </m:r>
              <m:d>
                <m:dPr>
                  <m:ctrlPr>
                    <w:rPr>
                      <w:rFonts w:ascii="Cambria Math" w:hAnsi="Cambria Math" w:cstheme="minorHAnsi"/>
                      <w:i/>
                    </w:rPr>
                  </m:ctrlPr>
                </m:dPr>
                <m:e>
                  <m:r>
                    <w:rPr>
                      <w:rFonts w:ascii="Cambria Math" w:hAnsi="Cambria Math" w:cstheme="minorHAnsi"/>
                    </w:rPr>
                    <m:t>i2,j2</m:t>
                  </m:r>
                </m:e>
              </m:d>
              <m:r>
                <w:rPr>
                  <w:rFonts w:ascii="Cambria Math" w:hAnsi="Cambria Math" w:cstheme="minorHAnsi"/>
                </w:rPr>
                <m:t>,w</m:t>
              </m:r>
            </m:sub>
            <m:sup/>
            <m:e>
              <m:d>
                <m:dPr>
                  <m:ctrlPr>
                    <w:rPr>
                      <w:rFonts w:ascii="Cambria Math" w:hAnsi="Cambria Math" w:cstheme="minorHAnsi"/>
                    </w:rPr>
                  </m:ctrlPr>
                </m:dPr>
                <m:e>
                  <m:r>
                    <w:rPr>
                      <w:rFonts w:ascii="Cambria Math" w:hAnsi="Cambria Math" w:cstheme="minorHAnsi"/>
                    </w:rPr>
                    <m:t>vm_area</m:t>
                  </m:r>
                  <m:d>
                    <m:dPr>
                      <m:ctrlPr>
                        <w:rPr>
                          <w:rFonts w:ascii="Cambria Math" w:hAnsi="Cambria Math" w:cstheme="minorHAnsi"/>
                          <w:i/>
                        </w:rPr>
                      </m:ctrlPr>
                    </m:dPr>
                    <m:e>
                      <m:r>
                        <w:rPr>
                          <w:rFonts w:ascii="Cambria Math" w:hAnsi="Cambria Math" w:cstheme="minorHAnsi"/>
                        </w:rPr>
                        <m:t>j2,kcr,w</m:t>
                      </m:r>
                    </m:e>
                  </m:d>
                  <m:r>
                    <w:rPr>
                      <w:rFonts w:ascii="Cambria Math" w:hAnsi="Cambria Math" w:cstheme="minorHAnsi"/>
                    </w:rPr>
                    <m:t>. f38_region_yield(i2,kcr).</m:t>
                  </m:r>
                  <m:func>
                    <m:funcPr>
                      <m:ctrlPr>
                        <w:rPr>
                          <w:rFonts w:ascii="Cambria Math" w:hAnsi="Cambria Math" w:cstheme="minorHAnsi"/>
                        </w:rPr>
                      </m:ctrlPr>
                    </m:funcPr>
                    <m:fName/>
                    <m:e>
                      <m:f>
                        <m:fPr>
                          <m:ctrlPr>
                            <w:rPr>
                              <w:rFonts w:ascii="Cambria Math" w:hAnsi="Cambria Math" w:cstheme="minorHAnsi"/>
                            </w:rPr>
                          </m:ctrlPr>
                        </m:fPr>
                        <m:num>
                          <m:r>
                            <w:rPr>
                              <w:rFonts w:ascii="Cambria Math" w:hAnsi="Cambria Math" w:cstheme="minorHAnsi"/>
                            </w:rPr>
                            <m:t>vm_tau(i2)</m:t>
                          </m:r>
                        </m:num>
                        <m:den>
                          <m:r>
                            <w:rPr>
                              <w:rFonts w:ascii="Cambria Math" w:eastAsia="Cambria Math" w:hAnsi="Cambria Math" w:cs="Cambria Math"/>
                            </w:rPr>
                            <m:t>fm_tau_1995(i2)</m:t>
                          </m:r>
                        </m:den>
                      </m:f>
                      <m:r>
                        <w:rPr>
                          <w:rFonts w:ascii="Cambria Math" w:hAnsi="Cambria Math" w:cstheme="minorHAnsi"/>
                        </w:rPr>
                        <m:t xml:space="preserve"> . f38_fac_req(kcr,w)</m:t>
                      </m:r>
                    </m:e>
                  </m:func>
                </m:e>
              </m:d>
            </m:e>
          </m:nary>
        </m:oMath>
      </m:oMathPara>
    </w:p>
    <w:p w14:paraId="6836CA38" w14:textId="77777777" w:rsidR="00304978" w:rsidRPr="00D9756A" w:rsidRDefault="00304978" w:rsidP="00D9756A">
      <w:pPr>
        <w:autoSpaceDE w:val="0"/>
        <w:autoSpaceDN w:val="0"/>
        <w:adjustRightInd w:val="0"/>
        <w:spacing w:line="240" w:lineRule="auto"/>
        <w:rPr>
          <w:rFonts w:cstheme="minorHAnsi"/>
        </w:rPr>
      </w:pPr>
    </w:p>
    <w:p w14:paraId="408867F4" w14:textId="2C296DF1" w:rsidR="00D9756A" w:rsidRDefault="00D9756A" w:rsidP="000C18AE">
      <w:pPr>
        <w:autoSpaceDE w:val="0"/>
        <w:autoSpaceDN w:val="0"/>
        <w:adjustRightInd w:val="0"/>
        <w:spacing w:after="0" w:line="240" w:lineRule="auto"/>
        <w:jc w:val="both"/>
        <w:rPr>
          <w:rFonts w:cstheme="minorHAnsi"/>
        </w:rPr>
      </w:pPr>
      <w:r w:rsidRPr="00D9756A">
        <w:rPr>
          <w:rFonts w:cstheme="minorHAnsi"/>
        </w:rPr>
        <w:t>The equation abov</w:t>
      </w:r>
      <w:r w:rsidR="003362FA">
        <w:rPr>
          <w:rFonts w:cstheme="minorHAnsi"/>
        </w:rPr>
        <w:t xml:space="preserve">e shows that factor requirement </w:t>
      </w:r>
      <w:r w:rsidRPr="00D9756A">
        <w:rPr>
          <w:rFonts w:cstheme="minorHAnsi"/>
        </w:rPr>
        <w:t>costs </w:t>
      </w:r>
      <w:proofErr w:type="spellStart"/>
      <w:r w:rsidRPr="000C18AE">
        <w:rPr>
          <w:rFonts w:cstheme="minorHAnsi"/>
          <w:i/>
        </w:rPr>
        <w:t>vm_cost_prod</w:t>
      </w:r>
      <w:proofErr w:type="spellEnd"/>
      <w:r w:rsidRPr="00D9756A">
        <w:rPr>
          <w:rFonts w:cstheme="minorHAnsi"/>
        </w:rPr>
        <w:t> mainly depend on area harvested </w:t>
      </w:r>
      <w:proofErr w:type="spellStart"/>
      <w:r w:rsidRPr="000C18AE">
        <w:rPr>
          <w:rFonts w:cstheme="minorHAnsi"/>
          <w:i/>
        </w:rPr>
        <w:t>vm_area</w:t>
      </w:r>
      <w:proofErr w:type="spellEnd"/>
      <w:r w:rsidRPr="00D9756A">
        <w:rPr>
          <w:rFonts w:cstheme="minorHAnsi"/>
        </w:rPr>
        <w:t> and average regional land-use intensity levels </w:t>
      </w:r>
      <w:proofErr w:type="spellStart"/>
      <w:r w:rsidRPr="000C18AE">
        <w:rPr>
          <w:rFonts w:cstheme="minorHAnsi"/>
          <w:i/>
        </w:rPr>
        <w:t>vm_tau</w:t>
      </w:r>
      <w:proofErr w:type="spellEnd"/>
      <w:r w:rsidR="000C18AE">
        <w:rPr>
          <w:rFonts w:cstheme="minorHAnsi"/>
          <w:sz w:val="28"/>
        </w:rPr>
        <w:t>(</w:t>
      </w:r>
      <w:r w:rsidR="000C18AE" w:rsidRPr="000C18AE">
        <w:rPr>
          <w:rFonts w:cstheme="minorHAnsi"/>
          <w:sz w:val="28"/>
        </w:rPr>
        <w:t>τ</w:t>
      </w:r>
      <w:r w:rsidR="000C18AE">
        <w:rPr>
          <w:rFonts w:cstheme="minorHAnsi"/>
          <w:sz w:val="28"/>
        </w:rPr>
        <w:t>)</w:t>
      </w:r>
      <w:r w:rsidRPr="00D9756A">
        <w:rPr>
          <w:rFonts w:cstheme="minorHAnsi"/>
        </w:rPr>
        <w:t>. Multiplying the land-use intensity increases since 1995 with average regional yields </w:t>
      </w:r>
      <w:r w:rsidRPr="00151521">
        <w:rPr>
          <w:rFonts w:cstheme="minorHAnsi"/>
          <w:i/>
        </w:rPr>
        <w:t>f38_region_yield</w:t>
      </w:r>
      <w:r w:rsidRPr="00D9756A">
        <w:rPr>
          <w:rFonts w:cstheme="minorHAnsi"/>
        </w:rPr>
        <w:t xml:space="preserve"> gives the average regional yield. </w:t>
      </w:r>
      <w:r w:rsidR="00151521">
        <w:rPr>
          <w:rFonts w:cstheme="minorHAnsi"/>
        </w:rPr>
        <w:t>Assuming an average yield, this when m</w:t>
      </w:r>
      <w:r w:rsidRPr="00D9756A">
        <w:rPr>
          <w:rFonts w:cstheme="minorHAnsi"/>
        </w:rPr>
        <w:t>ultiplied w</w:t>
      </w:r>
      <w:r w:rsidR="003362FA">
        <w:rPr>
          <w:rFonts w:cstheme="minorHAnsi"/>
        </w:rPr>
        <w:t>ith the area under production</w:t>
      </w:r>
      <w:r w:rsidRPr="00D9756A">
        <w:rPr>
          <w:rFonts w:cstheme="minorHAnsi"/>
        </w:rPr>
        <w:t xml:space="preserve"> gives the production</w:t>
      </w:r>
      <w:r w:rsidR="007C171A">
        <w:rPr>
          <w:rFonts w:cstheme="minorHAnsi"/>
        </w:rPr>
        <w:t xml:space="preserve"> quantity</w:t>
      </w:r>
      <w:r w:rsidRPr="00D9756A">
        <w:rPr>
          <w:rFonts w:cstheme="minorHAnsi"/>
        </w:rPr>
        <w:t xml:space="preserve"> of this location. Multiplied with estimated factor requirement costs per volume </w:t>
      </w:r>
      <w:r w:rsidRPr="000C18AE">
        <w:rPr>
          <w:rFonts w:cstheme="minorHAnsi"/>
          <w:i/>
        </w:rPr>
        <w:t>f38_fac_req</w:t>
      </w:r>
      <w:r w:rsidRPr="00D9756A">
        <w:rPr>
          <w:rFonts w:cstheme="minorHAnsi"/>
        </w:rPr>
        <w:t> returns the total factor costs</w:t>
      </w:r>
      <w:r w:rsidR="00304978">
        <w:rPr>
          <w:rFonts w:cstheme="minorHAnsi"/>
        </w:rPr>
        <w:t xml:space="preserve"> for crop production</w:t>
      </w:r>
      <w:r w:rsidRPr="00D9756A">
        <w:rPr>
          <w:rFonts w:cstheme="minorHAnsi"/>
        </w:rPr>
        <w:t>.</w:t>
      </w:r>
    </w:p>
    <w:p w14:paraId="4C08DEC5" w14:textId="77777777" w:rsidR="000C18AE" w:rsidRPr="00D9756A" w:rsidRDefault="000C18AE" w:rsidP="00D9756A">
      <w:pPr>
        <w:autoSpaceDE w:val="0"/>
        <w:autoSpaceDN w:val="0"/>
        <w:adjustRightInd w:val="0"/>
        <w:spacing w:after="0" w:line="240" w:lineRule="auto"/>
        <w:rPr>
          <w:rFonts w:cstheme="minorHAnsi"/>
        </w:rPr>
      </w:pPr>
    </w:p>
    <w:p w14:paraId="0B571153" w14:textId="64635245" w:rsidR="00D9756A" w:rsidRDefault="00D9756A" w:rsidP="000C18AE">
      <w:pPr>
        <w:autoSpaceDE w:val="0"/>
        <w:autoSpaceDN w:val="0"/>
        <w:adjustRightInd w:val="0"/>
        <w:spacing w:after="0" w:line="240" w:lineRule="auto"/>
        <w:jc w:val="both"/>
        <w:rPr>
          <w:rFonts w:cstheme="minorHAnsi"/>
        </w:rPr>
      </w:pPr>
      <w:r w:rsidRPr="00D9756A">
        <w:rPr>
          <w:rFonts w:cstheme="minorHAnsi"/>
        </w:rPr>
        <w:t xml:space="preserve">The crop-and-water specific factor costs per volume of </w:t>
      </w:r>
      <w:r w:rsidR="00470445">
        <w:rPr>
          <w:rFonts w:cstheme="minorHAnsi"/>
        </w:rPr>
        <w:t>crop production</w:t>
      </w:r>
      <w:r w:rsidR="00151521">
        <w:rPr>
          <w:rFonts w:cstheme="minorHAnsi"/>
        </w:rPr>
        <w:t xml:space="preserve"> ‘</w:t>
      </w:r>
      <w:r w:rsidR="00470445" w:rsidRPr="00151521">
        <w:rPr>
          <w:rFonts w:cstheme="minorHAnsi"/>
          <w:i/>
        </w:rPr>
        <w:t>f38_fac_req</w:t>
      </w:r>
      <w:r w:rsidR="00151521" w:rsidRPr="00151521">
        <w:rPr>
          <w:rFonts w:cstheme="minorHAnsi"/>
          <w:i/>
        </w:rPr>
        <w:t>’</w:t>
      </w:r>
      <w:r w:rsidR="00470445">
        <w:rPr>
          <w:rFonts w:cstheme="minorHAnsi"/>
        </w:rPr>
        <w:t xml:space="preserve"> are </w:t>
      </w:r>
      <w:r w:rsidRPr="00D9756A">
        <w:rPr>
          <w:rFonts w:cstheme="minorHAnsi"/>
        </w:rPr>
        <w:t>obtained from </w:t>
      </w:r>
      <w:r w:rsidR="00470445">
        <w:rPr>
          <w:rFonts w:cstheme="minorHAnsi"/>
        </w:rPr>
        <w:t xml:space="preserve">the GTAP database in </w:t>
      </w:r>
      <w:r w:rsidR="00A36263">
        <w:rPr>
          <w:rFonts w:cstheme="minorHAnsi"/>
        </w:rPr>
        <w:fldChar w:fldCharType="begin"/>
      </w:r>
      <w:r w:rsidR="00A36263">
        <w:rPr>
          <w:rFonts w:cstheme="minorHAnsi"/>
        </w:rPr>
        <w:instrText xml:space="preserve"> ADDIN ZOTERO_ITEM CSL_CITATION {"citationID":"Ck3Bojid","properties":{"formattedCitation":"(Narayanan G. &amp; L. Walmsley, 2008)","plainCitation":"(Narayanan G. &amp; L. Walmsley, 2008)","noteIndex":0},"citationItems":[{"id":328,"uris":["http://zotero.org/users/local/LupjHtya/items/DTQTBMDC"],"uri":["http://zotero.org/users/local/LupjHtya/items/DTQTBMDC"],"itemData":{"id":328,"type":"article","publisher":"Center for Global Trade Analysis, Purdue University","title":"Global Trade, Assistance, and Production: The GTAP 7 Data Base","URL":"http://www.gtap.agecon.purdue.edu/databases/v7/v7_doco.asp","author":[{"family":"Narayanan G.","given":"Badri"},{"family":"L. Walmsley","given":"Terrie"}],"issued":{"date-parts":[["2008"]]}}}],"schema":"https://github.com/citation-style-language/schema/raw/master/csl-citation.json"} </w:instrText>
      </w:r>
      <w:r w:rsidR="00A36263">
        <w:rPr>
          <w:rFonts w:cstheme="minorHAnsi"/>
        </w:rPr>
        <w:fldChar w:fldCharType="separate"/>
      </w:r>
      <w:r w:rsidR="00A36263" w:rsidRPr="00A36263">
        <w:rPr>
          <w:rFonts w:ascii="Calibri" w:hAnsi="Calibri" w:cs="Calibri"/>
        </w:rPr>
        <w:t>(Narayanan G. &amp; L. Walmsley, 2008)</w:t>
      </w:r>
      <w:r w:rsidR="00A36263">
        <w:rPr>
          <w:rFonts w:cstheme="minorHAnsi"/>
        </w:rPr>
        <w:fldChar w:fldCharType="end"/>
      </w:r>
      <w:r w:rsidR="00A36263">
        <w:rPr>
          <w:rFonts w:cstheme="minorHAnsi"/>
        </w:rPr>
        <w:t xml:space="preserve"> </w:t>
      </w:r>
      <w:r w:rsidR="000F4AE7">
        <w:rPr>
          <w:rFonts w:cstheme="minorHAnsi"/>
        </w:rPr>
        <w:t>as no other globally available dataset that provides information on irrigation and land rents</w:t>
      </w:r>
      <w:r w:rsidR="00A36263">
        <w:rPr>
          <w:rFonts w:cstheme="minorHAnsi"/>
        </w:rPr>
        <w:t xml:space="preserve"> is available</w:t>
      </w:r>
      <w:r w:rsidRPr="00D9756A">
        <w:rPr>
          <w:rFonts w:cstheme="minorHAnsi"/>
        </w:rPr>
        <w:t xml:space="preserve">. Splitting factor costs into costs under irrigation and under rainfed production </w:t>
      </w:r>
      <w:r w:rsidR="00F51FFD">
        <w:rPr>
          <w:rFonts w:cstheme="minorHAnsi"/>
        </w:rPr>
        <w:t xml:space="preserve">is </w:t>
      </w:r>
      <w:r w:rsidR="007C171A">
        <w:rPr>
          <w:rFonts w:cstheme="minorHAnsi"/>
        </w:rPr>
        <w:t xml:space="preserve">conducted </w:t>
      </w:r>
      <w:r w:rsidRPr="00D9756A">
        <w:rPr>
          <w:rFonts w:cstheme="minorHAnsi"/>
        </w:rPr>
        <w:t>based on the methodology described in </w:t>
      </w:r>
      <w:r w:rsidR="00B570F4">
        <w:rPr>
          <w:rFonts w:cstheme="minorHAnsi"/>
        </w:rPr>
        <w:fldChar w:fldCharType="begin"/>
      </w:r>
      <w:r w:rsidR="00063686">
        <w:rPr>
          <w:rFonts w:cstheme="minorHAnsi"/>
        </w:rPr>
        <w:instrText xml:space="preserve"> ADDIN ZOTERO_ITEM CSL_CITATION {"citationID":"GhWn3cy3","properties":{"formattedCitation":"(Calzadilla et al., 2011)","plainCitation":"(Calzadilla et al., 2011)","dontUpdate":true,"noteIndex":0},"citationItems":[{"id":329,"uris":["http://zotero.org/users/local/LupjHtya/items/RPX4MJ47"],"uri":["http://zotero.org/users/local/LupjHtya/items/RPX4MJ47"],"itemData":{"id":329,"type":"report","publisher":"Kiel Working Paper","title":"The GTAP-W model: Accounting for water use in agriculture","author":[{"family":"Calzadilla","given":"Alvaro"},{"family":"Rehdanz","given":"Katrin"},{"family":"Tol","given":"Richard SJ"}],"issued":{"date-parts":[["2011"]]}}}],"schema":"https://github.com/citation-style-language/schema/raw/master/csl-citation.json"} </w:instrText>
      </w:r>
      <w:r w:rsidR="00B570F4">
        <w:rPr>
          <w:rFonts w:cstheme="minorHAnsi"/>
        </w:rPr>
        <w:fldChar w:fldCharType="separate"/>
      </w:r>
      <w:r w:rsidR="00B570F4" w:rsidRPr="00B570F4">
        <w:rPr>
          <w:rFonts w:ascii="Calibri" w:hAnsi="Calibri" w:cs="Calibri"/>
        </w:rPr>
        <w:t xml:space="preserve">Calzadilla et al., </w:t>
      </w:r>
      <w:r w:rsidR="009A3E2B">
        <w:rPr>
          <w:rFonts w:ascii="Calibri" w:hAnsi="Calibri" w:cs="Calibri"/>
        </w:rPr>
        <w:t>(</w:t>
      </w:r>
      <w:r w:rsidR="00B570F4" w:rsidRPr="00B570F4">
        <w:rPr>
          <w:rFonts w:ascii="Calibri" w:hAnsi="Calibri" w:cs="Calibri"/>
        </w:rPr>
        <w:t>2011)</w:t>
      </w:r>
      <w:r w:rsidR="00B570F4">
        <w:rPr>
          <w:rFonts w:cstheme="minorHAnsi"/>
        </w:rPr>
        <w:fldChar w:fldCharType="end"/>
      </w:r>
      <w:r w:rsidR="00B570F4">
        <w:rPr>
          <w:rFonts w:cstheme="minorHAnsi"/>
        </w:rPr>
        <w:t xml:space="preserve"> </w:t>
      </w:r>
      <w:r w:rsidR="007C171A">
        <w:rPr>
          <w:rFonts w:cstheme="minorHAnsi"/>
        </w:rPr>
        <w:t>whereby</w:t>
      </w:r>
      <w:r w:rsidR="00E609F7">
        <w:rPr>
          <w:rFonts w:cstheme="minorHAnsi"/>
        </w:rPr>
        <w:t xml:space="preserve"> the difference in factor costs of irrigated versus rainfed crops is </w:t>
      </w:r>
      <w:r w:rsidR="00B04FA6">
        <w:rPr>
          <w:rFonts w:cstheme="minorHAnsi"/>
        </w:rPr>
        <w:t>determined by</w:t>
      </w:r>
      <w:r w:rsidR="00E609F7">
        <w:rPr>
          <w:rFonts w:cstheme="minorHAnsi"/>
        </w:rPr>
        <w:t xml:space="preserve"> the difference in land rents associated with rainfed and irrigated lands</w:t>
      </w:r>
      <w:r w:rsidR="00B04FA6">
        <w:rPr>
          <w:rFonts w:cstheme="minorHAnsi"/>
        </w:rPr>
        <w:t>, explained below in detail</w:t>
      </w:r>
      <w:r w:rsidR="00E609F7">
        <w:rPr>
          <w:rFonts w:cstheme="minorHAnsi"/>
        </w:rPr>
        <w:t xml:space="preserve">. </w:t>
      </w:r>
    </w:p>
    <w:p w14:paraId="264043E4" w14:textId="77777777" w:rsidR="00D24EA8" w:rsidRDefault="00D24EA8" w:rsidP="00D24EA8">
      <w:pPr>
        <w:autoSpaceDE w:val="0"/>
        <w:autoSpaceDN w:val="0"/>
        <w:adjustRightInd w:val="0"/>
        <w:spacing w:after="0" w:line="240" w:lineRule="auto"/>
        <w:rPr>
          <w:rFonts w:cstheme="minorHAnsi"/>
        </w:rPr>
      </w:pPr>
    </w:p>
    <w:p w14:paraId="0A795826" w14:textId="1243B003" w:rsidR="0043661D" w:rsidRPr="0043661D" w:rsidRDefault="00E609F7" w:rsidP="00D24EA8">
      <w:pPr>
        <w:autoSpaceDE w:val="0"/>
        <w:autoSpaceDN w:val="0"/>
        <w:adjustRightInd w:val="0"/>
        <w:spacing w:after="0" w:line="240" w:lineRule="auto"/>
      </w:pPr>
      <w:r>
        <w:rPr>
          <w:rFonts w:cstheme="minorHAnsi"/>
        </w:rPr>
        <w:t>Irrigation</w:t>
      </w:r>
      <w:r w:rsidR="0043661D">
        <w:rPr>
          <w:rFonts w:cstheme="minorHAnsi"/>
        </w:rPr>
        <w:t xml:space="preserve"> costs in MAgPIE model are obtained from </w:t>
      </w:r>
      <w:r w:rsidR="00B570F4">
        <w:rPr>
          <w:rFonts w:cstheme="minorHAnsi"/>
        </w:rPr>
        <w:t>the following methodology:</w:t>
      </w:r>
    </w:p>
    <w:p w14:paraId="6C3766DE" w14:textId="10854AC8" w:rsidR="00D24EA8" w:rsidRDefault="00D24EA8" w:rsidP="00D24EA8">
      <w:pPr>
        <w:pStyle w:val="ListParagraph"/>
        <w:numPr>
          <w:ilvl w:val="0"/>
          <w:numId w:val="3"/>
        </w:numPr>
        <w:autoSpaceDE w:val="0"/>
        <w:autoSpaceDN w:val="0"/>
        <w:adjustRightInd w:val="0"/>
        <w:spacing w:after="0" w:line="240" w:lineRule="auto"/>
      </w:pPr>
      <w:r w:rsidRPr="009468F7">
        <w:t xml:space="preserve">The new GTAP-W model is based on GTAP-6 database which represents the global economy in 2001 and on the IMPACT 2000 baseline data. IMPACT used 281 “Food-producing units” which represent the spatial intersections of 115 economic regions and 126 river basins. </w:t>
      </w:r>
    </w:p>
    <w:p w14:paraId="666ED3FE" w14:textId="77777777" w:rsidR="00932DB4" w:rsidRPr="00932DB4" w:rsidRDefault="00932DB4" w:rsidP="00932DB4">
      <w:pPr>
        <w:pStyle w:val="ListParagraph"/>
        <w:numPr>
          <w:ilvl w:val="0"/>
          <w:numId w:val="3"/>
        </w:numPr>
        <w:rPr>
          <w:rFonts w:ascii="Calibri" w:hAnsi="Calibri"/>
        </w:rPr>
      </w:pPr>
      <w:r w:rsidRPr="00932DB4">
        <w:rPr>
          <w:rFonts w:ascii="Calibri" w:hAnsi="Calibri"/>
        </w:rPr>
        <w:t xml:space="preserve">The GTAP total costs of production consist of </w:t>
      </w:r>
    </w:p>
    <w:p w14:paraId="44C7B767" w14:textId="77A0A8E5" w:rsidR="00932DB4" w:rsidRPr="00932DB4" w:rsidRDefault="00932DB4" w:rsidP="00932DB4">
      <w:pPr>
        <w:pStyle w:val="ListParagraph"/>
        <w:ind w:left="1080"/>
        <w:rPr>
          <w:rFonts w:ascii="Calibri" w:hAnsi="Calibri"/>
        </w:rPr>
      </w:pPr>
      <w:r w:rsidRPr="00932DB4">
        <w:rPr>
          <w:rFonts w:ascii="Calibri" w:hAnsi="Calibri"/>
        </w:rPr>
        <w:t>- Land Costs</w:t>
      </w:r>
    </w:p>
    <w:p w14:paraId="3CD3B51F" w14:textId="5EF1F24E" w:rsidR="00932DB4" w:rsidRPr="00932DB4" w:rsidRDefault="00932DB4" w:rsidP="00932DB4">
      <w:pPr>
        <w:pStyle w:val="ListParagraph"/>
        <w:ind w:left="1080"/>
        <w:rPr>
          <w:rFonts w:ascii="Calibri" w:hAnsi="Calibri"/>
        </w:rPr>
      </w:pPr>
      <w:r w:rsidRPr="00932DB4">
        <w:rPr>
          <w:rFonts w:ascii="Calibri" w:hAnsi="Calibri"/>
        </w:rPr>
        <w:t>- Fix Costs</w:t>
      </w:r>
    </w:p>
    <w:p w14:paraId="20D843C6" w14:textId="3FEFB1F4" w:rsidR="00932DB4" w:rsidRPr="00932DB4" w:rsidRDefault="00932DB4" w:rsidP="00932DB4">
      <w:pPr>
        <w:pStyle w:val="ListParagraph"/>
        <w:ind w:left="1080"/>
        <w:rPr>
          <w:rFonts w:ascii="Calibri" w:hAnsi="Calibri"/>
        </w:rPr>
      </w:pPr>
      <w:r w:rsidRPr="00932DB4">
        <w:rPr>
          <w:rFonts w:ascii="Calibri" w:hAnsi="Calibri"/>
        </w:rPr>
        <w:t>- Own Costs (Input</w:t>
      </w:r>
      <w:r>
        <w:rPr>
          <w:rFonts w:ascii="Calibri" w:hAnsi="Calibri"/>
        </w:rPr>
        <w:t xml:space="preserve"> </w:t>
      </w:r>
      <w:r w:rsidRPr="00932DB4">
        <w:rPr>
          <w:rFonts w:ascii="Calibri" w:hAnsi="Calibri"/>
        </w:rPr>
        <w:t>costs of other agricultural activities)</w:t>
      </w:r>
    </w:p>
    <w:p w14:paraId="23ACD0C8" w14:textId="77777777" w:rsidR="00932DB4" w:rsidRPr="00932DB4" w:rsidRDefault="00932DB4" w:rsidP="00932DB4">
      <w:pPr>
        <w:pStyle w:val="ListParagraph"/>
        <w:ind w:left="1080"/>
        <w:rPr>
          <w:rFonts w:ascii="Calibri" w:hAnsi="Calibri"/>
        </w:rPr>
      </w:pPr>
      <w:r w:rsidRPr="00932DB4">
        <w:rPr>
          <w:rFonts w:ascii="Calibri" w:hAnsi="Calibri"/>
        </w:rPr>
        <w:lastRenderedPageBreak/>
        <w:t>- Rest</w:t>
      </w:r>
    </w:p>
    <w:p w14:paraId="64929519" w14:textId="27776678" w:rsidR="00932DB4" w:rsidRPr="00932DB4" w:rsidRDefault="00932DB4" w:rsidP="00932DB4">
      <w:pPr>
        <w:pStyle w:val="ListParagraph"/>
        <w:ind w:left="1080"/>
        <w:rPr>
          <w:rFonts w:ascii="Calibri" w:hAnsi="Calibri"/>
        </w:rPr>
      </w:pPr>
      <w:r w:rsidRPr="00932DB4">
        <w:rPr>
          <w:rFonts w:ascii="Calibri" w:hAnsi="Calibri"/>
        </w:rPr>
        <w:t>As costs for irrigation infrastructure maintenance and water are not specified, they have to be part of the land cost</w:t>
      </w:r>
      <w:r>
        <w:rPr>
          <w:rFonts w:ascii="Calibri" w:hAnsi="Calibri"/>
        </w:rPr>
        <w:t xml:space="preserve">s (land rent). </w:t>
      </w:r>
      <w:r w:rsidR="00DE2835">
        <w:rPr>
          <w:rFonts w:ascii="Calibri" w:hAnsi="Calibri"/>
        </w:rPr>
        <w:fldChar w:fldCharType="begin"/>
      </w:r>
      <w:r w:rsidR="00074076">
        <w:rPr>
          <w:rFonts w:ascii="Calibri" w:hAnsi="Calibri"/>
        </w:rPr>
        <w:instrText xml:space="preserve"> ADDIN ZOTERO_ITEM CSL_CITATION {"citationID":"TZ6QVhkB","properties":{"formattedCitation":"(Calzadilla et al., 2011)","plainCitation":"(Calzadilla et al., 2011)","dontUpdate":true,"noteIndex":0},"citationItems":[{"id":329,"uris":["http://zotero.org/users/local/LupjHtya/items/RPX4MJ47"],"uri":["http://zotero.org/users/local/LupjHtya/items/RPX4MJ47"],"itemData":{"id":329,"type":"report","publisher":"Kiel Working Paper","title":"The GTAP-W model: Accounting for water use in agriculture","author":[{"family":"Calzadilla","given":"Alvaro"},{"family":"Rehdanz","given":"Katrin"},{"family":"Tol","given":"Richard SJ"}],"issued":{"date-parts":[["2011"]]}}}],"schema":"https://github.com/citation-style-language/schema/raw/master/csl-citation.json"} </w:instrText>
      </w:r>
      <w:r w:rsidR="00DE2835">
        <w:rPr>
          <w:rFonts w:ascii="Calibri" w:hAnsi="Calibri"/>
        </w:rPr>
        <w:fldChar w:fldCharType="separate"/>
      </w:r>
      <w:r w:rsidR="00DE2835" w:rsidRPr="00DE2835">
        <w:rPr>
          <w:rFonts w:ascii="Calibri" w:hAnsi="Calibri" w:cs="Calibri"/>
        </w:rPr>
        <w:t xml:space="preserve">Calzadilla et al., </w:t>
      </w:r>
      <w:r w:rsidR="00DE2835">
        <w:rPr>
          <w:rFonts w:ascii="Calibri" w:hAnsi="Calibri" w:cs="Calibri"/>
        </w:rPr>
        <w:t>(</w:t>
      </w:r>
      <w:r w:rsidR="00DE2835" w:rsidRPr="00DE2835">
        <w:rPr>
          <w:rFonts w:ascii="Calibri" w:hAnsi="Calibri" w:cs="Calibri"/>
        </w:rPr>
        <w:t>2011)</w:t>
      </w:r>
      <w:r w:rsidR="00DE2835">
        <w:rPr>
          <w:rFonts w:ascii="Calibri" w:hAnsi="Calibri"/>
        </w:rPr>
        <w:fldChar w:fldCharType="end"/>
      </w:r>
      <w:r>
        <w:rPr>
          <w:rFonts w:ascii="Calibri" w:hAnsi="Calibri"/>
        </w:rPr>
        <w:t xml:space="preserve"> </w:t>
      </w:r>
      <w:r w:rsidRPr="00932DB4">
        <w:rPr>
          <w:rFonts w:ascii="Calibri" w:hAnsi="Calibri"/>
        </w:rPr>
        <w:t>have developed an algorithm to extract irrigation rent from land</w:t>
      </w:r>
      <w:r w:rsidR="00744768">
        <w:rPr>
          <w:rFonts w:ascii="Calibri" w:hAnsi="Calibri"/>
        </w:rPr>
        <w:t xml:space="preserve"> </w:t>
      </w:r>
      <w:r w:rsidRPr="00932DB4">
        <w:rPr>
          <w:rFonts w:ascii="Calibri" w:hAnsi="Calibri"/>
        </w:rPr>
        <w:t>rent, that is applied here to determine the factor</w:t>
      </w:r>
      <w:r w:rsidR="003362FA">
        <w:rPr>
          <w:rFonts w:ascii="Calibri" w:hAnsi="Calibri"/>
        </w:rPr>
        <w:t xml:space="preserve"> costs of irrigation. Therefore</w:t>
      </w:r>
      <w:r w:rsidRPr="00932DB4">
        <w:rPr>
          <w:rFonts w:ascii="Calibri" w:hAnsi="Calibri"/>
        </w:rPr>
        <w:t>, in the case of irrigation, parts of the land</w:t>
      </w:r>
      <w:r w:rsidR="00744768">
        <w:rPr>
          <w:rFonts w:ascii="Calibri" w:hAnsi="Calibri"/>
        </w:rPr>
        <w:t xml:space="preserve"> </w:t>
      </w:r>
      <w:r w:rsidRPr="00932DB4">
        <w:rPr>
          <w:rFonts w:ascii="Calibri" w:hAnsi="Calibri"/>
        </w:rPr>
        <w:t>rent are included in the factor requirements.</w:t>
      </w:r>
    </w:p>
    <w:p w14:paraId="5117E48F" w14:textId="47B4E208" w:rsidR="00D24EA8" w:rsidRDefault="00D24EA8" w:rsidP="00296EAF">
      <w:pPr>
        <w:pStyle w:val="ListParagraph"/>
        <w:numPr>
          <w:ilvl w:val="0"/>
          <w:numId w:val="3"/>
        </w:numPr>
        <w:autoSpaceDE w:val="0"/>
        <w:autoSpaceDN w:val="0"/>
        <w:adjustRightInd w:val="0"/>
        <w:spacing w:after="0" w:line="240" w:lineRule="auto"/>
      </w:pPr>
      <w:r w:rsidRPr="009468F7">
        <w:t>For each region, sectoral land rents are split into rents derived from irrigation (</w:t>
      </w:r>
      <w:proofErr w:type="spellStart"/>
      <w:r w:rsidRPr="00262A74">
        <w:rPr>
          <w:i/>
        </w:rPr>
        <w:t>wtr</w:t>
      </w:r>
      <w:proofErr w:type="spellEnd"/>
      <w:r w:rsidRPr="009468F7">
        <w:t>), irrigable land (</w:t>
      </w:r>
      <w:proofErr w:type="spellStart"/>
      <w:r w:rsidRPr="00262A74">
        <w:rPr>
          <w:i/>
        </w:rPr>
        <w:t>Lnd</w:t>
      </w:r>
      <w:proofErr w:type="spellEnd"/>
      <w:r w:rsidRPr="009468F7">
        <w:t>), rainfed land (</w:t>
      </w:r>
      <w:proofErr w:type="spellStart"/>
      <w:r w:rsidRPr="00262A74">
        <w:rPr>
          <w:i/>
        </w:rPr>
        <w:t>RfLand</w:t>
      </w:r>
      <w:proofErr w:type="spellEnd"/>
      <w:r w:rsidRPr="009468F7">
        <w:t>) and pasture land (</w:t>
      </w:r>
      <w:proofErr w:type="spellStart"/>
      <w:r w:rsidRPr="00262A74">
        <w:rPr>
          <w:i/>
        </w:rPr>
        <w:t>PsLand</w:t>
      </w:r>
      <w:proofErr w:type="spellEnd"/>
      <w:r w:rsidR="00B62639">
        <w:t>).</w:t>
      </w:r>
      <w:r w:rsidR="00262A74">
        <w:t xml:space="preserve"> It is assumed</w:t>
      </w:r>
      <w:r>
        <w:t xml:space="preserve"> that the value of irrigation water is embedded in the value of land and therefore value of rainfed versus irrigated land are taken separately in the GTAP Social Accounting Matrix. </w:t>
      </w:r>
    </w:p>
    <w:p w14:paraId="1CA827B4" w14:textId="373CAF01" w:rsidR="00D24EA8" w:rsidRDefault="00262A74" w:rsidP="00D24EA8">
      <w:pPr>
        <w:pStyle w:val="ListParagraph"/>
        <w:numPr>
          <w:ilvl w:val="0"/>
          <w:numId w:val="3"/>
        </w:numPr>
        <w:autoSpaceDE w:val="0"/>
        <w:autoSpaceDN w:val="0"/>
        <w:adjustRightInd w:val="0"/>
        <w:spacing w:after="0" w:line="240" w:lineRule="auto"/>
      </w:pPr>
      <w:r>
        <w:t>The</w:t>
      </w:r>
      <w:r w:rsidR="00D24EA8">
        <w:t xml:space="preserve"> value of irrigated land </w:t>
      </w:r>
      <w:r>
        <w:t xml:space="preserve">is split </w:t>
      </w:r>
      <w:r w:rsidR="00D24EA8">
        <w:t xml:space="preserve">into value of irrigable land and the value of irrigation using the following equation: </w:t>
      </w:r>
    </w:p>
    <w:p w14:paraId="7A07F17D" w14:textId="77777777" w:rsidR="00D24EA8" w:rsidRPr="009468F7" w:rsidRDefault="00D24EA8" w:rsidP="00D24EA8">
      <w:pPr>
        <w:pStyle w:val="ListParagraph"/>
        <w:autoSpaceDE w:val="0"/>
        <w:autoSpaceDN w:val="0"/>
        <w:adjustRightInd w:val="0"/>
        <w:spacing w:after="0" w:line="240" w:lineRule="auto"/>
        <w:ind w:left="1080"/>
      </w:pPr>
      <m:oMathPara>
        <m:oMath>
          <m:r>
            <w:rPr>
              <w:rFonts w:ascii="Cambria Math" w:hAnsi="Cambria Math"/>
            </w:rPr>
            <m:t>VFM</m:t>
          </m:r>
          <m:d>
            <m:dPr>
              <m:ctrlPr>
                <w:rPr>
                  <w:rFonts w:ascii="Cambria Math" w:hAnsi="Cambria Math"/>
                  <w:i/>
                </w:rPr>
              </m:ctrlPr>
            </m:dPr>
            <m:e>
              <m:r>
                <w:rPr>
                  <w:rFonts w:ascii="Cambria Math" w:hAnsi="Cambria Math"/>
                </w:rPr>
                <m:t>wtr, j,r</m:t>
              </m:r>
            </m:e>
          </m:d>
          <m:r>
            <w:rPr>
              <w:rFonts w:ascii="Cambria Math" w:hAnsi="Cambria Math"/>
            </w:rPr>
            <m:t>=OLDVFM</m:t>
          </m:r>
          <m:d>
            <m:dPr>
              <m:ctrlPr>
                <w:rPr>
                  <w:rFonts w:ascii="Cambria Math" w:hAnsi="Cambria Math"/>
                  <w:i/>
                </w:rPr>
              </m:ctrlPr>
            </m:dPr>
            <m:e>
              <m:r>
                <w:rPr>
                  <w:rFonts w:ascii="Cambria Math" w:hAnsi="Cambria Math"/>
                </w:rPr>
                <m:t>land, j,r</m:t>
              </m:r>
            </m:e>
          </m:d>
          <m:r>
            <w:rPr>
              <w:rFonts w:ascii="Cambria Math" w:hAnsi="Cambria Math"/>
            </w:rPr>
            <m:t xml:space="preserve">*PS </m:t>
          </m:r>
          <m:d>
            <m:dPr>
              <m:ctrlPr>
                <w:rPr>
                  <w:rFonts w:ascii="Cambria Math" w:hAnsi="Cambria Math"/>
                  <w:i/>
                </w:rPr>
              </m:ctrlPr>
            </m:dPr>
            <m:e>
              <m:r>
                <w:rPr>
                  <w:rFonts w:ascii="Cambria Math" w:hAnsi="Cambria Math"/>
                </w:rPr>
                <m:t>j,r</m:t>
              </m:r>
            </m:e>
          </m:d>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 xml:space="preserve">YR </m:t>
                  </m:r>
                  <m:d>
                    <m:dPr>
                      <m:ctrlPr>
                        <w:rPr>
                          <w:rFonts w:ascii="Cambria Math" w:hAnsi="Cambria Math"/>
                          <w:i/>
                        </w:rPr>
                      </m:ctrlPr>
                    </m:dPr>
                    <m:e>
                      <m:r>
                        <w:rPr>
                          <w:rFonts w:ascii="Cambria Math" w:hAnsi="Cambria Math"/>
                        </w:rPr>
                        <m:t>j,r</m:t>
                      </m:r>
                    </m:e>
                  </m:d>
                  <m:r>
                    <w:rPr>
                      <w:rFonts w:ascii="Cambria Math" w:hAnsi="Cambria Math"/>
                    </w:rPr>
                    <m:t>-1</m:t>
                  </m:r>
                </m:e>
              </m:d>
            </m:num>
            <m:den>
              <m:r>
                <w:rPr>
                  <w:rFonts w:ascii="Cambria Math" w:hAnsi="Cambria Math"/>
                </w:rPr>
                <m:t>YR(j,r)</m:t>
              </m:r>
            </m:den>
          </m:f>
        </m:oMath>
      </m:oMathPara>
    </w:p>
    <w:p w14:paraId="3B0689EB" w14:textId="77777777" w:rsidR="007A38CA" w:rsidRDefault="007A38CA" w:rsidP="00DE2835">
      <w:pPr>
        <w:autoSpaceDE w:val="0"/>
        <w:autoSpaceDN w:val="0"/>
        <w:adjustRightInd w:val="0"/>
        <w:spacing w:after="0" w:line="240" w:lineRule="auto"/>
        <w:ind w:left="1080"/>
      </w:pPr>
    </w:p>
    <w:p w14:paraId="270F66CA" w14:textId="2E1297B3" w:rsidR="00D24EA8" w:rsidRPr="00A3495B" w:rsidRDefault="00D24EA8" w:rsidP="00262A74">
      <w:pPr>
        <w:autoSpaceDE w:val="0"/>
        <w:autoSpaceDN w:val="0"/>
        <w:adjustRightInd w:val="0"/>
        <w:spacing w:after="0" w:line="240" w:lineRule="auto"/>
        <w:ind w:left="1080"/>
      </w:pPr>
      <w:r w:rsidRPr="007A38CA">
        <w:t>Where</w:t>
      </w:r>
      <w:r>
        <w:rPr>
          <w:rFonts w:ascii="MinionPro-Regular" w:hAnsi="MinionPro-Regular" w:cs="MinionPro-Regular"/>
          <w:sz w:val="18"/>
          <w:szCs w:val="18"/>
        </w:rPr>
        <w:t xml:space="preserve"> </w:t>
      </w:r>
      <m:oMath>
        <m:r>
          <w:rPr>
            <w:rFonts w:ascii="Cambria Math" w:hAnsi="Cambria Math"/>
          </w:rPr>
          <m:t>OLDVFM</m:t>
        </m:r>
        <m:d>
          <m:dPr>
            <m:ctrlPr>
              <w:rPr>
                <w:rFonts w:ascii="Cambria Math" w:hAnsi="Cambria Math"/>
                <w:i/>
              </w:rPr>
            </m:ctrlPr>
          </m:dPr>
          <m:e>
            <m:r>
              <w:rPr>
                <w:rFonts w:ascii="Cambria Math" w:hAnsi="Cambria Math"/>
              </w:rPr>
              <m:t>land, j,r</m:t>
            </m:r>
          </m:e>
        </m:d>
        <m:r>
          <w:rPr>
            <w:rFonts w:ascii="Cambria Math" w:hAnsi="Cambria Math"/>
          </w:rPr>
          <m:t xml:space="preserve"> </m:t>
        </m:r>
      </m:oMath>
      <w:r w:rsidRPr="007A38CA">
        <w:t>is the original unmodified</w:t>
      </w:r>
      <w:r>
        <w:rPr>
          <w:rFonts w:ascii="MinionPro-Regular" w:eastAsiaTheme="minorEastAsia" w:hAnsi="MinionPro-Regular" w:cs="MinionPro-Regular"/>
        </w:rPr>
        <w:t xml:space="preserve"> </w:t>
      </w:r>
      <m:oMath>
        <m:r>
          <w:rPr>
            <w:rFonts w:ascii="Cambria Math" w:hAnsi="Cambria Math"/>
          </w:rPr>
          <m:t>VFM</m:t>
        </m:r>
        <m:d>
          <m:dPr>
            <m:ctrlPr>
              <w:rPr>
                <w:rFonts w:ascii="Cambria Math" w:hAnsi="Cambria Math"/>
                <w:i/>
              </w:rPr>
            </m:ctrlPr>
          </m:dPr>
          <m:e>
            <m:r>
              <w:rPr>
                <w:rFonts w:ascii="Cambria Math" w:hAnsi="Cambria Math"/>
              </w:rPr>
              <m:t>i, j,r</m:t>
            </m:r>
          </m:e>
        </m:d>
      </m:oMath>
      <w:r>
        <w:rPr>
          <w:rFonts w:ascii="MinionPro-Regular" w:eastAsiaTheme="minorEastAsia" w:hAnsi="MinionPro-Regular" w:cs="MinionPro-Regular"/>
        </w:rPr>
        <w:t xml:space="preserve">,  </w:t>
      </w:r>
      <w:r w:rsidRPr="007A38CA">
        <w:t>is the share of irrigated production in total production in sector</w:t>
      </w:r>
      <w:r>
        <w:rPr>
          <w:rFonts w:ascii="MinionPro-Regular" w:eastAsiaTheme="minorEastAsia" w:hAnsi="MinionPro-Regular" w:cs="MinionPro-Regular"/>
        </w:rPr>
        <w:t xml:space="preserve"> </w:t>
      </w:r>
      <m:oMath>
        <m:r>
          <w:rPr>
            <w:rFonts w:ascii="Cambria Math" w:eastAsiaTheme="minorEastAsia" w:hAnsi="Cambria Math" w:cs="MinionPro-Regular"/>
          </w:rPr>
          <m:t>j</m:t>
        </m:r>
      </m:oMath>
      <w:r>
        <w:rPr>
          <w:rFonts w:ascii="MinionPro-Regular" w:eastAsiaTheme="minorEastAsia" w:hAnsi="MinionPro-Regular" w:cs="MinionPro-Regular"/>
        </w:rPr>
        <w:t xml:space="preserve"> </w:t>
      </w:r>
      <w:r w:rsidRPr="007A38CA">
        <w:t>of region</w:t>
      </w:r>
      <w:r>
        <w:rPr>
          <w:rFonts w:ascii="MinionPro-Regular" w:eastAsiaTheme="minorEastAsia" w:hAnsi="MinionPro-Regular" w:cs="MinionPro-Regular"/>
        </w:rPr>
        <w:t xml:space="preserve"> </w:t>
      </w:r>
      <m:oMath>
        <m:r>
          <w:rPr>
            <w:rFonts w:ascii="Cambria Math" w:eastAsiaTheme="minorEastAsia" w:hAnsi="Cambria Math" w:cs="MinionPro-Regular"/>
          </w:rPr>
          <m:t>r</m:t>
        </m:r>
      </m:oMath>
      <w:r>
        <w:rPr>
          <w:rFonts w:ascii="MinionPro-Regular" w:eastAsiaTheme="minorEastAsia" w:hAnsi="MinionPro-Regular" w:cs="MinionPro-Regular"/>
        </w:rPr>
        <w:t xml:space="preserve"> </w:t>
      </w:r>
      <w:r w:rsidRPr="007A38CA">
        <w:t>and</w:t>
      </w:r>
      <w:r>
        <w:rPr>
          <w:rFonts w:ascii="MinionPro-Regular" w:eastAsiaTheme="minorEastAsia" w:hAnsi="MinionPro-Regular" w:cs="MinionPro-Regular"/>
        </w:rPr>
        <w:t xml:space="preserve"> </w:t>
      </w:r>
      <m:oMath>
        <m:r>
          <w:rPr>
            <w:rFonts w:ascii="Cambria Math" w:hAnsi="Cambria Math"/>
          </w:rPr>
          <m:t>YR(j,r)</m:t>
        </m:r>
      </m:oMath>
      <w:r>
        <w:rPr>
          <w:rFonts w:ascii="MinionPro-Regular" w:eastAsiaTheme="minorEastAsia" w:hAnsi="MinionPro-Regular" w:cs="MinionPro-Regular"/>
        </w:rPr>
        <w:t xml:space="preserve"> </w:t>
      </w:r>
      <w:r w:rsidRPr="007A38CA">
        <w:t>is the ratio of irrigated yield to rainfed yield in sector</w:t>
      </w:r>
      <w:r>
        <w:rPr>
          <w:rFonts w:ascii="MinionPro-Regular" w:eastAsiaTheme="minorEastAsia" w:hAnsi="MinionPro-Regular" w:cs="MinionPro-Regular"/>
        </w:rPr>
        <w:t xml:space="preserve"> </w:t>
      </w:r>
      <m:oMath>
        <m:r>
          <w:rPr>
            <w:rFonts w:ascii="Cambria Math" w:eastAsiaTheme="minorEastAsia" w:hAnsi="Cambria Math" w:cs="MinionPro-Regular"/>
          </w:rPr>
          <m:t>j</m:t>
        </m:r>
      </m:oMath>
      <w:r>
        <w:rPr>
          <w:rFonts w:ascii="MinionPro-Regular" w:eastAsiaTheme="minorEastAsia" w:hAnsi="MinionPro-Regular" w:cs="MinionPro-Regular"/>
        </w:rPr>
        <w:t xml:space="preserve"> </w:t>
      </w:r>
      <w:r w:rsidRPr="007A38CA">
        <w:t>of region</w:t>
      </w:r>
      <w:r>
        <w:rPr>
          <w:rFonts w:ascii="MinionPro-Regular" w:eastAsiaTheme="minorEastAsia" w:hAnsi="MinionPro-Regular" w:cs="MinionPro-Regular"/>
        </w:rPr>
        <w:t xml:space="preserve"> </w:t>
      </w:r>
      <m:oMath>
        <m:r>
          <w:rPr>
            <w:rFonts w:ascii="Cambria Math" w:eastAsiaTheme="minorEastAsia" w:hAnsi="Cambria Math" w:cs="MinionPro-Regular"/>
          </w:rPr>
          <m:t>r</m:t>
        </m:r>
      </m:oMath>
      <w:r>
        <w:rPr>
          <w:rFonts w:ascii="MinionPro-Regular" w:eastAsiaTheme="minorEastAsia" w:hAnsi="MinionPro-Regular" w:cs="MinionPro-Regular"/>
        </w:rPr>
        <w:t xml:space="preserve">. </w:t>
      </w:r>
    </w:p>
    <w:p w14:paraId="14E70849" w14:textId="6543303C" w:rsidR="00D24EA8" w:rsidRPr="00A3495B" w:rsidRDefault="00D24EA8" w:rsidP="00D24EA8">
      <w:pPr>
        <w:pStyle w:val="ListParagraph"/>
        <w:numPr>
          <w:ilvl w:val="0"/>
          <w:numId w:val="3"/>
        </w:numPr>
        <w:autoSpaceDE w:val="0"/>
        <w:autoSpaceDN w:val="0"/>
        <w:adjustRightInd w:val="0"/>
        <w:spacing w:after="0" w:line="240" w:lineRule="auto"/>
        <w:rPr>
          <w:rFonts w:ascii="MinionPro-Regular" w:hAnsi="MinionPro-Regular" w:cs="MinionPro-Regular"/>
          <w:sz w:val="18"/>
          <w:szCs w:val="18"/>
        </w:rPr>
      </w:pPr>
      <w:r w:rsidRPr="00A3495B">
        <w:t>An initial sector and region specific shadow price for irrigation water is obtained by combining the social accounting matrix information about payments to factors and the volume of water</w:t>
      </w:r>
      <w:r>
        <w:t xml:space="preserve"> used in irrigation from IMPACT. Results from this analysis and validation with other studies </w:t>
      </w:r>
      <w:r w:rsidR="00C1487F">
        <w:fldChar w:fldCharType="begin"/>
      </w:r>
      <w:r w:rsidR="00C1487F">
        <w:instrText xml:space="preserve"> ADDIN ZOTERO_ITEM CSL_CITATION {"citationID":"TEfxVwBk","properties":{"formattedCitation":"(Cornish et al., 2004)","plainCitation":"(Cornish et al., 2004)","noteIndex":0},"citationItems":[{"id":330,"uris":["http://zotero.org/users/local/LupjHtya/items/ZAFYYNPS"],"uri":["http://zotero.org/users/local/LupjHtya/items/ZAFYYNPS"],"itemData":{"id":330,"type":"book","ISBN":"92-5-105211-5","publisher":"Food &amp; Agriculture Org.","title":"Water charging in irrigated agriculture: An analysis of international experience","volume":"28","author":[{"family":"Cornish","given":"Gez"},{"family":"Bosworth","given":"Barry"},{"family":"Perry","given":"CJ"},{"family":"Burke","given":"Jacob J"}],"issued":{"date-parts":[["2004"]]}}}],"schema":"https://github.com/citation-style-language/schema/raw/master/csl-citation.json"} </w:instrText>
      </w:r>
      <w:r w:rsidR="00C1487F">
        <w:fldChar w:fldCharType="separate"/>
      </w:r>
      <w:r w:rsidR="00C1487F" w:rsidRPr="00C1487F">
        <w:rPr>
          <w:rFonts w:ascii="Calibri" w:hAnsi="Calibri" w:cs="Calibri"/>
        </w:rPr>
        <w:t>(Cornish et al., 2004)</w:t>
      </w:r>
      <w:r w:rsidR="00C1487F">
        <w:fldChar w:fldCharType="end"/>
      </w:r>
      <w:r>
        <w:t xml:space="preserve"> indicate that a price of 2 US cents/m</w:t>
      </w:r>
      <w:r>
        <w:rPr>
          <w:vertAlign w:val="superscript"/>
        </w:rPr>
        <w:t xml:space="preserve">3 </w:t>
      </w:r>
      <w:r>
        <w:t xml:space="preserve">is indicative of the average volumetric price charged for irrigation water, globally. </w:t>
      </w:r>
    </w:p>
    <w:p w14:paraId="7E359522" w14:textId="77777777" w:rsidR="00D24EA8" w:rsidRPr="00C92236" w:rsidRDefault="00D24EA8" w:rsidP="00D24EA8">
      <w:pPr>
        <w:pStyle w:val="ListParagraph"/>
        <w:numPr>
          <w:ilvl w:val="0"/>
          <w:numId w:val="3"/>
        </w:numPr>
        <w:autoSpaceDE w:val="0"/>
        <w:autoSpaceDN w:val="0"/>
        <w:adjustRightInd w:val="0"/>
        <w:spacing w:after="0" w:line="240" w:lineRule="auto"/>
      </w:pPr>
      <w:r w:rsidRPr="00C92236">
        <w:t xml:space="preserve">Value of irrigation in GTAP-W includes not only the water but also the equipment necessary for agricultural production. Without irrigation, irrigable land rents should be similar to rainfed land rents because both are expected to face the same yields per hectare. </w:t>
      </w:r>
    </w:p>
    <w:p w14:paraId="68A73787" w14:textId="7177E603" w:rsidR="00D24EA8" w:rsidRPr="00C92236" w:rsidRDefault="00D24EA8" w:rsidP="00D24EA8">
      <w:pPr>
        <w:pStyle w:val="ListParagraph"/>
        <w:numPr>
          <w:ilvl w:val="0"/>
          <w:numId w:val="3"/>
        </w:numPr>
        <w:autoSpaceDE w:val="0"/>
        <w:autoSpaceDN w:val="0"/>
        <w:adjustRightInd w:val="0"/>
        <w:spacing w:after="0" w:line="240" w:lineRule="auto"/>
      </w:pPr>
      <w:r>
        <w:t xml:space="preserve">Possible substitution between land and irrigation in irrigated agricultural production by using a nested CES function. Substitution elasticity between irrigable land and irrigation are derived from estimates from </w:t>
      </w:r>
      <w:r w:rsidR="00C1487F">
        <w:fldChar w:fldCharType="begin"/>
      </w:r>
      <w:r w:rsidR="00063686">
        <w:instrText xml:space="preserve"> ADDIN ZOTERO_ITEM CSL_CITATION {"citationID":"nidGVW2J","properties":{"formattedCitation":"(Rosegrant et al., 2009)","plainCitation":"(Rosegrant et al., 2009)","dontUpdate":true,"noteIndex":0},"citationItems":[{"id":38,"uris":["http://zotero.org/users/local/LupjHtya/items/2BM24JKQ"],"uri":["http://zotero.org/users/local/LupjHtya/items/2BM24JKQ"],"itemData":{"id":38,"type":"article-journal","container-title":"Annual Review of Environment and Resources","DOI":"10.1146/annurev.environ.030308.090351","issue":"1","page":"205-222","title":"Water for Agriculture: Maintaining Food Security under Growing Scarcity","volume":"34","author":[{"family":"Rosegrant","given":"Mark W."},{"family":"Ringler","given":"Claudia"},{"family":"Zhu","given":"Tingju"}],"issued":{"date-parts":[["2009",11]]}}}],"schema":"https://github.com/citation-style-language/schema/raw/master/csl-citation.json"} </w:instrText>
      </w:r>
      <w:r w:rsidR="00C1487F">
        <w:fldChar w:fldCharType="separate"/>
      </w:r>
      <w:r w:rsidR="00C1487F" w:rsidRPr="00C1487F">
        <w:rPr>
          <w:rFonts w:ascii="Calibri" w:hAnsi="Calibri" w:cs="Calibri"/>
        </w:rPr>
        <w:t xml:space="preserve">Rosegrant et al., </w:t>
      </w:r>
      <w:r w:rsidR="009B7F3F">
        <w:rPr>
          <w:rFonts w:ascii="Calibri" w:hAnsi="Calibri" w:cs="Calibri"/>
        </w:rPr>
        <w:t>(</w:t>
      </w:r>
      <w:r w:rsidR="00C1487F" w:rsidRPr="00C1487F">
        <w:rPr>
          <w:rFonts w:ascii="Calibri" w:hAnsi="Calibri" w:cs="Calibri"/>
        </w:rPr>
        <w:t>2009)</w:t>
      </w:r>
      <w:r w:rsidR="00C1487F">
        <w:fldChar w:fldCharType="end"/>
      </w:r>
      <w:r>
        <w:t xml:space="preserve"> using estimates of price elasticity of water use. The model does not have the potential for substitution between water and fertilizers. </w:t>
      </w:r>
    </w:p>
    <w:p w14:paraId="720A31BF" w14:textId="77777777" w:rsidR="00D24EA8" w:rsidRDefault="00D24EA8" w:rsidP="000C18AE">
      <w:pPr>
        <w:autoSpaceDE w:val="0"/>
        <w:autoSpaceDN w:val="0"/>
        <w:adjustRightInd w:val="0"/>
        <w:spacing w:after="0" w:line="240" w:lineRule="auto"/>
        <w:jc w:val="both"/>
        <w:rPr>
          <w:rFonts w:cstheme="minorHAnsi"/>
        </w:rPr>
      </w:pPr>
    </w:p>
    <w:p w14:paraId="4A49B6D0" w14:textId="74D4C2AF" w:rsidR="0073442D" w:rsidRPr="00262A74" w:rsidRDefault="00262A74" w:rsidP="0073442D">
      <w:pPr>
        <w:autoSpaceDE w:val="0"/>
        <w:autoSpaceDN w:val="0"/>
        <w:adjustRightInd w:val="0"/>
        <w:spacing w:after="0" w:line="240" w:lineRule="auto"/>
        <w:jc w:val="both"/>
      </w:pPr>
      <w:r>
        <w:t xml:space="preserve">Costs of various factors of production are therefore derived in the model and compared with </w:t>
      </w:r>
      <w:r w:rsidR="00372D9D">
        <w:t xml:space="preserve">pumping costs in India using data from existing literature as a validation exercise. In MAgPIE, </w:t>
      </w:r>
      <w:r>
        <w:t xml:space="preserve">the </w:t>
      </w:r>
      <w:r w:rsidR="00574B59">
        <w:t>difference between irrigated and rainfed paddy produce for India is</w:t>
      </w:r>
      <w:r>
        <w:t xml:space="preserve"> estimated to be</w:t>
      </w:r>
      <w:r w:rsidR="00574B59">
        <w:t xml:space="preserve"> </w:t>
      </w:r>
      <w:r w:rsidR="00372D9D">
        <w:t>20 USD per ton</w:t>
      </w:r>
      <w:r w:rsidR="00574B59">
        <w:t>ne</w:t>
      </w:r>
      <w:r w:rsidR="00372D9D">
        <w:t xml:space="preserve"> dry matter at 2005 prices, which is equivalent to </w:t>
      </w:r>
      <w:r w:rsidR="00AE7C36">
        <w:t xml:space="preserve">25.10 </w:t>
      </w:r>
      <w:r w:rsidR="00372D9D">
        <w:t>USD in 20</w:t>
      </w:r>
      <w:r w:rsidR="00AE7C36">
        <w:t>17</w:t>
      </w:r>
      <w:r w:rsidR="00AE7C36">
        <w:rPr>
          <w:rStyle w:val="FootnoteReference"/>
        </w:rPr>
        <w:footnoteReference w:id="1"/>
      </w:r>
      <w:r w:rsidR="00372D9D">
        <w:t xml:space="preserve"> (inflation adjusted prices). </w:t>
      </w:r>
      <w:r w:rsidR="00E96F8F">
        <w:t xml:space="preserve">This value includes the additional </w:t>
      </w:r>
      <w:r w:rsidR="00E96F8F" w:rsidRPr="00E96F8F">
        <w:t>mix of capital, labor costs and extra input costs (land, fertilizers and seed costs</w:t>
      </w:r>
      <w:r>
        <w:t>)</w:t>
      </w:r>
      <w:r w:rsidR="00E96F8F">
        <w:t xml:space="preserve"> for irrigated rice cultivation. </w:t>
      </w:r>
      <w:r>
        <w:t>Additionally, w</w:t>
      </w:r>
      <w:r w:rsidR="00BB268C">
        <w:t>ithin the model, the cost of water for crop production</w:t>
      </w:r>
      <w:r>
        <w:t xml:space="preserve"> (shadow price)</w:t>
      </w:r>
      <w:r w:rsidR="00BB268C">
        <w:t xml:space="preserve"> is calculated as a potential reduction in production costs if water availability within a particular cell within the model is increased by one cubic meter. </w:t>
      </w:r>
      <w:r w:rsidR="0073442D">
        <w:t xml:space="preserve">In the default settings within the model, the shadow price of one cubic meter of water for India is </w:t>
      </w:r>
      <w:r w:rsidR="0073442D">
        <w:rPr>
          <w:rFonts w:cstheme="minorHAnsi"/>
        </w:rPr>
        <w:t xml:space="preserve">0.0387 USD in 2020 which is equivalent to INR 2.8 per cubic meter. As we show later, this value closely resembles the subsidized cost of water faced by cultivators in India </w:t>
      </w:r>
      <w:r w:rsidR="0073442D">
        <w:rPr>
          <w:rFonts w:cstheme="minorHAnsi"/>
        </w:rPr>
        <w:fldChar w:fldCharType="begin"/>
      </w:r>
      <w:r w:rsidR="0073442D">
        <w:rPr>
          <w:rFonts w:cstheme="minorHAnsi"/>
        </w:rPr>
        <w:instrText xml:space="preserve"> ADDIN ZOTERO_ITEM CSL_CITATION {"citationID":"vUxtd2y0","properties":{"formattedCitation":"(Ray et al., 2020)","plainCitation":"(Ray et al., 2020)","noteIndex":0},"citationItems":[{"id":344,"uris":["http://zotero.org/users/local/LupjHtya/items/8W6EZUYK"],"uri":["http://zotero.org/users/local/LupjHtya/items/8W6EZUYK"],"itemData":{"id":344,"type":"article-journal","abstract":"The cost of pumping takes a major share under an irrigated agriculture condition, similarly for perennial aquacultural practices the importance of assured water cannot be ruled out. The procedure for determination of the cost of pumping is a cumbersome job. In this paper, the various steps involving the development of a mini deep tubewell and determination of unit cost of pumping under a sub-humid and sub-temporal condition of eastern India are discussed. Considering the electricity charge same as that of agricultural use, cost of pumping one cubic meter of tubewell water was estimated to be ` 2.0 (two rupees only).","page":"181-185","source":"ResearchGate","title":"Estimation of cost of pumping from a mini tubewell for agricultural usage","volume":"18","author":[{"family":"Ray","given":"Lala I.P."},{"family":"Mal","given":"Bimal"},{"family":"Panigrahi","given":"P"}],"issued":{"date-parts":[["2020",12,1]]}}}],"schema":"https://github.com/citation-style-language/schema/raw/master/csl-citation.json"} </w:instrText>
      </w:r>
      <w:r w:rsidR="0073442D">
        <w:rPr>
          <w:rFonts w:cstheme="minorHAnsi"/>
        </w:rPr>
        <w:fldChar w:fldCharType="separate"/>
      </w:r>
      <w:r w:rsidR="0073442D" w:rsidRPr="0073442D">
        <w:rPr>
          <w:rFonts w:ascii="Calibri" w:hAnsi="Calibri" w:cs="Calibri"/>
        </w:rPr>
        <w:t>(Ray et al., 2020)</w:t>
      </w:r>
      <w:r w:rsidR="0073442D">
        <w:rPr>
          <w:rFonts w:cstheme="minorHAnsi"/>
        </w:rPr>
        <w:fldChar w:fldCharType="end"/>
      </w:r>
      <w:r w:rsidR="0073442D">
        <w:rPr>
          <w:rFonts w:cstheme="minorHAnsi"/>
        </w:rPr>
        <w:t xml:space="preserve">. </w:t>
      </w:r>
    </w:p>
    <w:p w14:paraId="2236E361" w14:textId="0D4B22EE" w:rsidR="00E96F8F" w:rsidRDefault="00E96F8F" w:rsidP="00372D9D">
      <w:pPr>
        <w:autoSpaceDE w:val="0"/>
        <w:autoSpaceDN w:val="0"/>
        <w:adjustRightInd w:val="0"/>
        <w:spacing w:after="0" w:line="240" w:lineRule="auto"/>
      </w:pPr>
    </w:p>
    <w:p w14:paraId="12D0646D" w14:textId="4FCA62A3" w:rsidR="00372D9D" w:rsidRDefault="00372D9D" w:rsidP="00372D9D">
      <w:pPr>
        <w:autoSpaceDE w:val="0"/>
        <w:autoSpaceDN w:val="0"/>
        <w:adjustRightInd w:val="0"/>
        <w:spacing w:after="0" w:line="240" w:lineRule="auto"/>
      </w:pPr>
      <w:r>
        <w:t xml:space="preserve">To compare with the value for India, the following calculations are done: </w:t>
      </w:r>
    </w:p>
    <w:p w14:paraId="5FA96F48" w14:textId="77777777" w:rsidR="00372D9D" w:rsidRDefault="00372D9D" w:rsidP="00372D9D">
      <w:pPr>
        <w:autoSpaceDE w:val="0"/>
        <w:autoSpaceDN w:val="0"/>
        <w:adjustRightInd w:val="0"/>
        <w:spacing w:after="0" w:line="240" w:lineRule="auto"/>
      </w:pPr>
    </w:p>
    <w:p w14:paraId="021EF427" w14:textId="067A729B" w:rsidR="00372D9D" w:rsidRPr="0036535F" w:rsidRDefault="009E3457" w:rsidP="00372D9D">
      <w:pPr>
        <w:autoSpaceDE w:val="0"/>
        <w:autoSpaceDN w:val="0"/>
        <w:adjustRightInd w:val="0"/>
        <w:spacing w:after="0" w:line="240" w:lineRule="auto"/>
        <w:rPr>
          <w:b/>
        </w:rPr>
      </w:pPr>
      <w:r>
        <w:rPr>
          <w:b/>
        </w:rPr>
        <w:t>Cost</w:t>
      </w:r>
      <w:r w:rsidR="00372D9D" w:rsidRPr="0036535F">
        <w:rPr>
          <w:b/>
        </w:rPr>
        <w:t xml:space="preserve"> of irrigation water for rice crop</w:t>
      </w:r>
      <w:r w:rsidR="002323EF">
        <w:rPr>
          <w:b/>
        </w:rPr>
        <w:t xml:space="preserve"> per </w:t>
      </w:r>
      <w:r w:rsidR="000746B7">
        <w:rPr>
          <w:b/>
        </w:rPr>
        <w:t>tonne</w:t>
      </w:r>
      <w:r w:rsidR="00372D9D" w:rsidRPr="0036535F">
        <w:rPr>
          <w:b/>
        </w:rPr>
        <w:t xml:space="preserve"> = </w:t>
      </w:r>
      <w:r w:rsidR="000746B7">
        <w:rPr>
          <w:b/>
        </w:rPr>
        <w:t>(</w:t>
      </w:r>
      <w:r w:rsidR="00372D9D" w:rsidRPr="0036535F">
        <w:rPr>
          <w:b/>
        </w:rPr>
        <w:t>Number of hours of irrigation</w:t>
      </w:r>
      <w:r w:rsidR="00831939">
        <w:rPr>
          <w:b/>
        </w:rPr>
        <w:t xml:space="preserve"> of paddy</w:t>
      </w:r>
      <w:r w:rsidR="002323EF">
        <w:rPr>
          <w:b/>
        </w:rPr>
        <w:t xml:space="preserve"> per </w:t>
      </w:r>
      <w:r w:rsidR="000746B7">
        <w:rPr>
          <w:b/>
        </w:rPr>
        <w:t>tonne</w:t>
      </w:r>
      <w:r w:rsidR="00372D9D" w:rsidRPr="0036535F">
        <w:rPr>
          <w:b/>
        </w:rPr>
        <w:t xml:space="preserve"> * Average hourly draft of tubewell pump * Cost of generation of water draft per meter cube</w:t>
      </w:r>
      <w:r w:rsidR="000746B7">
        <w:rPr>
          <w:b/>
        </w:rPr>
        <w:t>) /</w:t>
      </w:r>
      <w:r w:rsidR="002323EF">
        <w:rPr>
          <w:b/>
        </w:rPr>
        <w:t xml:space="preserve"> Conversion rate from paddy to rice crop</w:t>
      </w:r>
    </w:p>
    <w:p w14:paraId="78892B38" w14:textId="77777777" w:rsidR="00372D9D" w:rsidRPr="0036535F" w:rsidRDefault="00372D9D" w:rsidP="00372D9D">
      <w:pPr>
        <w:autoSpaceDE w:val="0"/>
        <w:autoSpaceDN w:val="0"/>
        <w:adjustRightInd w:val="0"/>
        <w:spacing w:after="0" w:line="240" w:lineRule="auto"/>
      </w:pPr>
    </w:p>
    <w:p w14:paraId="414C063F" w14:textId="59C33408" w:rsidR="00372D9D" w:rsidRDefault="00372D9D" w:rsidP="00372D9D">
      <w:pPr>
        <w:autoSpaceDE w:val="0"/>
        <w:autoSpaceDN w:val="0"/>
        <w:adjustRightInd w:val="0"/>
        <w:spacing w:after="0" w:line="240" w:lineRule="auto"/>
      </w:pPr>
      <w:r>
        <w:t xml:space="preserve">Number of hours of irrigation are obtained from the data from </w:t>
      </w:r>
      <w:r>
        <w:fldChar w:fldCharType="begin"/>
      </w:r>
      <w:r>
        <w:instrText xml:space="preserve"> ADDIN ZOTERO_ITEM CSL_CITATION {"citationID":"tc2Mas2t","properties":{"formattedCitation":"(Commission for Agricultural Costs and Prices (CACP), 2020)","plainCitation":"(Commission for Agricultural Costs and Prices (CACP), 2020)","noteIndex":0},"citationItems":[{"id":241,"uris":["http://zotero.org/users/local/LupjHtya/items/PSDFF9SS"],"uri":["http://zotero.org/users/local/LupjHtya/items/PSDFF9SS"],"itemData":{"id":241,"type":"report","title":"Price Policy for Commission for Agricultural Costs and Prices","URL":"https://cacp.dacnet.nic.in/ViewQuestionare.aspx?Input=2&amp;DocId=1&amp;PageId=40&amp;KeyId=732","author":[{"literal":"Commission for Agricultural Costs and Prices (CACP)"}],"issued":{"date-parts":[["2020"]]}}}],"schema":"https://github.com/citation-style-language/schema/raw/master/csl-citation.json"} </w:instrText>
      </w:r>
      <w:r>
        <w:fldChar w:fldCharType="separate"/>
      </w:r>
      <w:r w:rsidRPr="0036535F">
        <w:rPr>
          <w:rFonts w:ascii="Calibri" w:hAnsi="Calibri" w:cs="Calibri"/>
        </w:rPr>
        <w:t>(Commission for Agricultural Costs and Prices (CACP), 2020)</w:t>
      </w:r>
      <w:r>
        <w:fldChar w:fldCharType="end"/>
      </w:r>
      <w:r>
        <w:t xml:space="preserve"> and at the national level, the average machine hours for paddy crop cultivation in 2017 were </w:t>
      </w:r>
      <w:r w:rsidR="004E43E5">
        <w:t>18.3 hours per tonne</w:t>
      </w:r>
      <w:r w:rsidR="00574B59">
        <w:t xml:space="preserve"> dry matter</w:t>
      </w:r>
      <w:r>
        <w:t xml:space="preserve">. The average hourly draft of tubewell pump irrigation is 25 meter cube per hour </w:t>
      </w:r>
      <w:r>
        <w:fldChar w:fldCharType="begin"/>
      </w:r>
      <w:r>
        <w:instrText xml:space="preserve"> ADDIN ZOTERO_ITEM CSL_CITATION {"citationID":"A7LBf8yo","properties":{"formattedCitation":"(Mukherji, 2006)","plainCitation":"(Mukherji, 2006)","noteIndex":0},"citationItems":[{"id":346,"uris":["http://zotero.org/users/local/LupjHtya/items/86HIZPLS"],"uri":["http://zotero.org/users/local/LupjHtya/items/86HIZPLS"],"itemData":{"id":346,"type":"article-journal","container-title":"Hydrogeology Journal","ISSN":"1435-0157","issue":"3","journalAbbreviation":"Hydrogeology Journal","note":"publisher: Springer","page":"392-406","title":"Political ecology of groundwater: the contrasting case of water-abundant West Bengal and water-scarce Gujarat, India","volume":"14","author":[{"family":"Mukherji","given":"Aditi"}],"issued":{"date-parts":[["2006"]]}}}],"schema":"https://github.com/citation-style-language/schema/raw/master/csl-citation.json"} </w:instrText>
      </w:r>
      <w:r>
        <w:fldChar w:fldCharType="separate"/>
      </w:r>
      <w:r w:rsidRPr="00D30939">
        <w:rPr>
          <w:rFonts w:ascii="Calibri" w:hAnsi="Calibri" w:cs="Calibri"/>
        </w:rPr>
        <w:t>(Mukherji, 2006)</w:t>
      </w:r>
      <w:r>
        <w:fldChar w:fldCharType="end"/>
      </w:r>
      <w:r>
        <w:t xml:space="preserve">. </w:t>
      </w:r>
      <w:r w:rsidR="004E43E5">
        <w:t xml:space="preserve">Thereby total water use for 1 tonne of paddy production = 457.5 cubic meters. </w:t>
      </w:r>
      <w:r>
        <w:t xml:space="preserve">Cost of production of 1 cubic meter of tubewell water when the electricity cost is </w:t>
      </w:r>
      <w:r w:rsidRPr="00E64E21">
        <w:rPr>
          <w:i/>
        </w:rPr>
        <w:t>subsidized</w:t>
      </w:r>
      <w:r>
        <w:t xml:space="preserve"> is INR 1.93 at 2020 prices </w:t>
      </w:r>
      <w:r>
        <w:fldChar w:fldCharType="begin"/>
      </w:r>
      <w:r>
        <w:instrText xml:space="preserve"> ADDIN ZOTERO_ITEM CSL_CITATION {"citationID":"L941Y5Kd","properties":{"formattedCitation":"(Ray et al., 2020)","plainCitation":"(Ray et al., 2020)","noteIndex":0},"citationItems":[{"id":344,"uris":["http://zotero.org/users/local/LupjHtya/items/8W6EZUYK"],"uri":["http://zotero.org/users/local/LupjHtya/items/8W6EZUYK"],"itemData":{"id":344,"type":"article-journal","abstract":"The cost of pumping takes a major share under an irrigated agriculture condition, similarly for perennial aquacultural practices the importance of assured water cannot be ruled out. The procedure for determination of the cost of pumping is a cumbersome job. In this paper, the various steps involving the development of a mini deep tubewell and determination of unit cost of pumping under a sub-humid and sub-temporal condition of eastern India are discussed. Considering the electricity charge same as that of agricultural use, cost of pumping one cubic meter of tubewell water was estimated to be ` 2.0 (two rupees only).","page":"181-185","source":"ResearchGate","title":"Estimation of cost of pumping from a mini tubewell for agricultural usage","volume":"18","author":[{"family":"Ray","given":"Lala I.P."},{"family":"Mal","given":"Bimal"},{"family":"Panigrahi","given":"P"}],"issued":{"date-parts":[["2020",12,1]]}}}],"schema":"https://github.com/citation-style-language/schema/raw/master/csl-citation.json"} </w:instrText>
      </w:r>
      <w:r>
        <w:fldChar w:fldCharType="separate"/>
      </w:r>
      <w:r w:rsidRPr="009B69DE">
        <w:rPr>
          <w:rFonts w:ascii="Calibri" w:hAnsi="Calibri" w:cs="Calibri"/>
        </w:rPr>
        <w:t>(Ray et al., 2020)</w:t>
      </w:r>
      <w:r>
        <w:fldChar w:fldCharType="end"/>
      </w:r>
      <w:r>
        <w:t xml:space="preserve">. By this methodology, the average cost of pumping water for irrigation of paddy is determined to be INR </w:t>
      </w:r>
      <w:r w:rsidR="004E43E5">
        <w:t>883</w:t>
      </w:r>
      <w:r>
        <w:t xml:space="preserve"> at 2020 prices which is approximately </w:t>
      </w:r>
      <w:r w:rsidR="004E43E5">
        <w:t>13</w:t>
      </w:r>
      <w:r>
        <w:t xml:space="preserve"> USD.</w:t>
      </w:r>
      <w:r w:rsidR="002323EF">
        <w:t xml:space="preserve"> </w:t>
      </w:r>
    </w:p>
    <w:p w14:paraId="2C971777" w14:textId="77777777" w:rsidR="004E43E5" w:rsidRDefault="004E43E5" w:rsidP="00372D9D">
      <w:pPr>
        <w:autoSpaceDE w:val="0"/>
        <w:autoSpaceDN w:val="0"/>
        <w:adjustRightInd w:val="0"/>
        <w:spacing w:after="0" w:line="240" w:lineRule="auto"/>
      </w:pPr>
    </w:p>
    <w:p w14:paraId="241BA9E0" w14:textId="275A17A1" w:rsidR="004E43E5" w:rsidRDefault="004E43E5" w:rsidP="00372D9D">
      <w:pPr>
        <w:autoSpaceDE w:val="0"/>
        <w:autoSpaceDN w:val="0"/>
        <w:adjustRightInd w:val="0"/>
        <w:spacing w:after="0" w:line="240" w:lineRule="auto"/>
      </w:pPr>
      <w:r>
        <w:t>Since, power subsidies play a major role in water price determination for agriculture, we undertake additional analysis using ‘true’ cost of electricity for the operation of tubewell pumps. According to the Central Electricity Regulatory Commission, the average price at which states purchased power was INR 3.6 per unit in fiscal year 2019</w:t>
      </w:r>
      <w:r>
        <w:rPr>
          <w:rStyle w:val="FootnoteReference"/>
        </w:rPr>
        <w:footnoteReference w:id="2"/>
      </w:r>
      <w:r>
        <w:t xml:space="preserve">. Using this value, the average cost of pumping water at full power prices for India </w:t>
      </w:r>
      <w:r w:rsidR="00783C9C">
        <w:t xml:space="preserve">is 15 USD. </w:t>
      </w:r>
    </w:p>
    <w:p w14:paraId="0C236852" w14:textId="1FEF0E29" w:rsidR="00D24EA8" w:rsidRDefault="00D24EA8" w:rsidP="000C18AE">
      <w:pPr>
        <w:autoSpaceDE w:val="0"/>
        <w:autoSpaceDN w:val="0"/>
        <w:adjustRightInd w:val="0"/>
        <w:spacing w:after="0" w:line="240" w:lineRule="auto"/>
        <w:jc w:val="both"/>
        <w:rPr>
          <w:rFonts w:cstheme="minorHAnsi"/>
        </w:rPr>
      </w:pPr>
    </w:p>
    <w:p w14:paraId="3F72FF87" w14:textId="1E3C45C3" w:rsidR="00372D9D" w:rsidRDefault="00372D9D" w:rsidP="00F809CC">
      <w:pPr>
        <w:autoSpaceDE w:val="0"/>
        <w:autoSpaceDN w:val="0"/>
        <w:adjustRightInd w:val="0"/>
        <w:spacing w:after="0" w:line="240" w:lineRule="auto"/>
        <w:jc w:val="both"/>
      </w:pPr>
      <w:r>
        <w:rPr>
          <w:rFonts w:cstheme="minorHAnsi"/>
        </w:rPr>
        <w:t>For this study, we undertake an assessment of potential increase in irrigation costs at the national level and</w:t>
      </w:r>
      <w:r w:rsidR="00C665BD">
        <w:rPr>
          <w:rFonts w:cstheme="minorHAnsi"/>
        </w:rPr>
        <w:t xml:space="preserve"> determine its implications for</w:t>
      </w:r>
      <w:r>
        <w:rPr>
          <w:rFonts w:cstheme="minorHAnsi"/>
        </w:rPr>
        <w:t xml:space="preserve"> crop production and land-use change in India. Irrigation costs ar</w:t>
      </w:r>
      <w:r w:rsidR="00233A43">
        <w:rPr>
          <w:rFonts w:cstheme="minorHAnsi"/>
        </w:rPr>
        <w:t>e increased in the ratio of 80%</w:t>
      </w:r>
      <w:r w:rsidR="007A1AF7">
        <w:rPr>
          <w:rFonts w:cstheme="minorHAnsi"/>
        </w:rPr>
        <w:t xml:space="preserve"> (</w:t>
      </w:r>
      <w:r w:rsidR="007A1AF7">
        <w:rPr>
          <w:rFonts w:cstheme="minorHAnsi"/>
          <w:i/>
        </w:rPr>
        <w:t>default_plus080)</w:t>
      </w:r>
      <w:r w:rsidR="00233A43">
        <w:rPr>
          <w:rFonts w:cstheme="minorHAnsi"/>
        </w:rPr>
        <w:t xml:space="preserve">, </w:t>
      </w:r>
      <w:r>
        <w:rPr>
          <w:rFonts w:cstheme="minorHAnsi"/>
        </w:rPr>
        <w:t>150%</w:t>
      </w:r>
      <w:r w:rsidR="00E97F39">
        <w:rPr>
          <w:rFonts w:cstheme="minorHAnsi"/>
        </w:rPr>
        <w:t xml:space="preserve"> </w:t>
      </w:r>
      <w:r w:rsidR="007A1AF7">
        <w:rPr>
          <w:rFonts w:cstheme="minorHAnsi"/>
        </w:rPr>
        <w:t>(</w:t>
      </w:r>
      <w:r w:rsidR="007A1AF7">
        <w:rPr>
          <w:rFonts w:cstheme="minorHAnsi"/>
          <w:i/>
        </w:rPr>
        <w:t>default_plus150)</w:t>
      </w:r>
      <w:r w:rsidR="007A1AF7">
        <w:rPr>
          <w:rFonts w:cstheme="minorHAnsi"/>
        </w:rPr>
        <w:t xml:space="preserve">, </w:t>
      </w:r>
      <w:r w:rsidR="00233A43">
        <w:rPr>
          <w:rFonts w:cstheme="minorHAnsi"/>
        </w:rPr>
        <w:t>and 300%</w:t>
      </w:r>
      <w:r>
        <w:rPr>
          <w:rFonts w:cstheme="minorHAnsi"/>
        </w:rPr>
        <w:t xml:space="preserve"> </w:t>
      </w:r>
      <w:r w:rsidR="007A1AF7">
        <w:rPr>
          <w:rFonts w:cstheme="minorHAnsi"/>
        </w:rPr>
        <w:t>(</w:t>
      </w:r>
      <w:r w:rsidR="007A1AF7">
        <w:rPr>
          <w:rFonts w:cstheme="minorHAnsi"/>
          <w:i/>
        </w:rPr>
        <w:t>default_plus300)</w:t>
      </w:r>
      <w:r w:rsidR="007A1AF7">
        <w:rPr>
          <w:rFonts w:cstheme="minorHAnsi"/>
        </w:rPr>
        <w:t xml:space="preserve">, </w:t>
      </w:r>
      <w:r>
        <w:rPr>
          <w:rFonts w:cstheme="minorHAnsi"/>
        </w:rPr>
        <w:t>to assess differences of underlying differential</w:t>
      </w:r>
      <w:r w:rsidR="007A1AF7">
        <w:rPr>
          <w:rFonts w:cstheme="minorHAnsi"/>
        </w:rPr>
        <w:t xml:space="preserve"> costs as compared to the business as usual scenario (</w:t>
      </w:r>
      <w:r w:rsidR="007A1AF7">
        <w:rPr>
          <w:rFonts w:cstheme="minorHAnsi"/>
          <w:i/>
        </w:rPr>
        <w:t>default).</w:t>
      </w:r>
      <w:r>
        <w:rPr>
          <w:rFonts w:cstheme="minorHAnsi"/>
        </w:rPr>
        <w:t xml:space="preserve"> </w:t>
      </w:r>
      <w:r w:rsidR="0005181A">
        <w:rPr>
          <w:rFonts w:cstheme="minorHAnsi"/>
        </w:rPr>
        <w:t>These costs are increased only for four crops – rice, temperate cereals</w:t>
      </w:r>
      <w:r w:rsidR="00AE7C36">
        <w:rPr>
          <w:rFonts w:cstheme="minorHAnsi"/>
        </w:rPr>
        <w:t xml:space="preserve"> (primarily wheat)</w:t>
      </w:r>
      <w:r w:rsidR="0005181A">
        <w:rPr>
          <w:rFonts w:cstheme="minorHAnsi"/>
        </w:rPr>
        <w:t xml:space="preserve">, </w:t>
      </w:r>
      <w:r w:rsidR="00C665BD">
        <w:rPr>
          <w:rFonts w:cstheme="minorHAnsi"/>
        </w:rPr>
        <w:t>groundnut and sugarcane, as these crops are highly dependent on irrigation and</w:t>
      </w:r>
      <w:r w:rsidR="0005181A">
        <w:rPr>
          <w:rFonts w:cstheme="minorHAnsi"/>
        </w:rPr>
        <w:t xml:space="preserve"> had the maximum difference between rainfed and irrigated production for India</w:t>
      </w:r>
      <w:r w:rsidR="00C665BD">
        <w:rPr>
          <w:rFonts w:cstheme="minorHAnsi"/>
        </w:rPr>
        <w:t xml:space="preserve"> in the model</w:t>
      </w:r>
      <w:r w:rsidR="0005181A">
        <w:rPr>
          <w:rFonts w:cstheme="minorHAnsi"/>
        </w:rPr>
        <w:t xml:space="preserve">. </w:t>
      </w:r>
      <w:r w:rsidR="0005181A">
        <w:t xml:space="preserve">Cereals in the </w:t>
      </w:r>
      <w:r w:rsidR="00AE7C36">
        <w:t>temperate cereals category</w:t>
      </w:r>
      <w:r w:rsidR="0005181A">
        <w:t xml:space="preserve"> are a grouped combination of cereals such as barley, oats, rye, wheat, millet and sorghum</w:t>
      </w:r>
      <w:r w:rsidR="00D76E72">
        <w:t>, with wheat constituting the major share for India</w:t>
      </w:r>
      <w:r w:rsidR="0005181A">
        <w:t xml:space="preserve">. </w:t>
      </w:r>
      <w:r w:rsidR="00F809CC">
        <w:rPr>
          <w:rFonts w:cstheme="minorHAnsi"/>
        </w:rPr>
        <w:t xml:space="preserve">To </w:t>
      </w:r>
      <w:r w:rsidR="00AE7C36">
        <w:rPr>
          <w:rFonts w:cstheme="minorHAnsi"/>
        </w:rPr>
        <w:t>compare</w:t>
      </w:r>
      <w:r w:rsidR="00F809CC">
        <w:rPr>
          <w:rFonts w:cstheme="minorHAnsi"/>
        </w:rPr>
        <w:t xml:space="preserve"> with settings within the model, we find that when factor costs are increased </w:t>
      </w:r>
      <w:r w:rsidR="003B3036">
        <w:rPr>
          <w:rFonts w:cstheme="minorHAnsi"/>
        </w:rPr>
        <w:t xml:space="preserve">in </w:t>
      </w:r>
      <w:r w:rsidR="003B3036" w:rsidRPr="003B3036">
        <w:rPr>
          <w:rFonts w:cstheme="minorHAnsi"/>
          <w:i/>
        </w:rPr>
        <w:t>default_plus150</w:t>
      </w:r>
      <w:r w:rsidR="003B3036">
        <w:rPr>
          <w:rFonts w:cstheme="minorHAnsi"/>
        </w:rPr>
        <w:t xml:space="preserve"> scenario</w:t>
      </w:r>
      <w:r w:rsidR="00F809CC">
        <w:rPr>
          <w:rFonts w:cstheme="minorHAnsi"/>
        </w:rPr>
        <w:t xml:space="preserve">, the shadow price of water in our model </w:t>
      </w:r>
      <w:r w:rsidR="00AE7C36">
        <w:rPr>
          <w:rFonts w:cstheme="minorHAnsi"/>
        </w:rPr>
        <w:t>is equivalent</w:t>
      </w:r>
      <w:r w:rsidR="00F809CC">
        <w:rPr>
          <w:rFonts w:cstheme="minorHAnsi"/>
        </w:rPr>
        <w:t xml:space="preserve"> to 0.0533 USD per cubic meter amounting to INR 3.9 per cubic meter. This value is close to the non-subsidized water prices faced by cultivators in India</w:t>
      </w:r>
      <w:r w:rsidR="00F809CC">
        <w:rPr>
          <w:rStyle w:val="FootnoteReference"/>
          <w:rFonts w:cstheme="minorHAnsi"/>
        </w:rPr>
        <w:footnoteReference w:id="3"/>
      </w:r>
      <w:r w:rsidR="00102743">
        <w:rPr>
          <w:rFonts w:cstheme="minorHAnsi"/>
        </w:rPr>
        <w:t xml:space="preserve">. In Punjab itself, </w:t>
      </w:r>
      <w:r w:rsidR="00102743">
        <w:t xml:space="preserve">the </w:t>
      </w:r>
      <w:r w:rsidR="00983F97">
        <w:t xml:space="preserve">true </w:t>
      </w:r>
      <w:r w:rsidR="00102743">
        <w:t xml:space="preserve">cost of electricity supply was Rs.3.00 per unit in 2000-01 and Rs.3.12 per unit in 2010-11 </w:t>
      </w:r>
      <w:r w:rsidR="00102743">
        <w:fldChar w:fldCharType="begin"/>
      </w:r>
      <w:r w:rsidR="00102743">
        <w:instrText xml:space="preserve"> ADDIN ZOTERO_ITEM CSL_CITATION {"citationID":"GvH1maAF","properties":{"formattedCitation":"(Singh, 2012)","plainCitation":"(Singh, 2012)","noteIndex":0},"citationItems":[{"id":332,"uris":["http://zotero.org/users/local/LupjHtya/items/XBCKVV8Y"],"uri":["http://zotero.org/users/local/LupjHtya/items/XBCKVV8Y"],"itemData":{"id":332,"type":"article-journal","container-title":"Indian Journal of Agricultural Economics","issue":"902-2016-66726","journalAbbreviation":"Indian Journal of Agricultural Economics","title":"Electricity subsidy in Punjab agriculture: Extent and impact","volume":"67","author":[{"family":"Singh","given":"Karam"}],"issued":{"date-parts":[["2012"]]}}}],"schema":"https://github.com/citation-style-language/schema/raw/master/csl-citation.json"} </w:instrText>
      </w:r>
      <w:r w:rsidR="00102743">
        <w:fldChar w:fldCharType="separate"/>
      </w:r>
      <w:r w:rsidR="00102743" w:rsidRPr="00102743">
        <w:rPr>
          <w:rFonts w:ascii="Calibri" w:hAnsi="Calibri" w:cs="Calibri"/>
        </w:rPr>
        <w:t>(Singh, 2012)</w:t>
      </w:r>
      <w:r w:rsidR="00102743">
        <w:fldChar w:fldCharType="end"/>
      </w:r>
      <w:r w:rsidR="00F809CC">
        <w:rPr>
          <w:rFonts w:cstheme="minorHAnsi"/>
        </w:rPr>
        <w:t xml:space="preserve">. When the cost of irrigation is increased by 300%, the shadow price of water is 0.0415 USD which is equivalent to INR 3.03 per cubic meter. </w:t>
      </w:r>
      <w:r>
        <w:rPr>
          <w:rFonts w:cstheme="minorHAnsi"/>
        </w:rPr>
        <w:t xml:space="preserve">The next section present results from this sensitivity analysis. </w:t>
      </w:r>
    </w:p>
    <w:p w14:paraId="55160A15" w14:textId="77777777" w:rsidR="00D36791" w:rsidRDefault="00D36791" w:rsidP="000C18AE">
      <w:pPr>
        <w:autoSpaceDE w:val="0"/>
        <w:autoSpaceDN w:val="0"/>
        <w:adjustRightInd w:val="0"/>
        <w:spacing w:after="0" w:line="240" w:lineRule="auto"/>
        <w:jc w:val="both"/>
        <w:rPr>
          <w:rFonts w:cstheme="minorHAnsi"/>
        </w:rPr>
      </w:pPr>
    </w:p>
    <w:p w14:paraId="20F33E32" w14:textId="77777777" w:rsidR="008B7062" w:rsidRDefault="008B7062" w:rsidP="008B7062">
      <w:pPr>
        <w:autoSpaceDE w:val="0"/>
        <w:autoSpaceDN w:val="0"/>
        <w:adjustRightInd w:val="0"/>
        <w:spacing w:after="0" w:line="240" w:lineRule="auto"/>
        <w:rPr>
          <w:rFonts w:ascii="MinionPro-Regular" w:hAnsi="MinionPro-Regular" w:cs="MinionPro-Regular"/>
          <w:sz w:val="18"/>
          <w:szCs w:val="18"/>
        </w:rPr>
      </w:pPr>
    </w:p>
    <w:p w14:paraId="2EA5C846" w14:textId="498DBBB1" w:rsidR="009468F7" w:rsidRDefault="00DC66CA" w:rsidP="008B7062">
      <w:pPr>
        <w:autoSpaceDE w:val="0"/>
        <w:autoSpaceDN w:val="0"/>
        <w:adjustRightInd w:val="0"/>
        <w:spacing w:after="0" w:line="240" w:lineRule="auto"/>
        <w:rPr>
          <w:b/>
        </w:rPr>
      </w:pPr>
      <w:r w:rsidRPr="003C4D96">
        <w:rPr>
          <w:b/>
        </w:rPr>
        <w:t>Results</w:t>
      </w:r>
    </w:p>
    <w:p w14:paraId="5D665D00" w14:textId="6C429FFA" w:rsidR="00D36791" w:rsidRDefault="00D36791" w:rsidP="008B7062">
      <w:pPr>
        <w:autoSpaceDE w:val="0"/>
        <w:autoSpaceDN w:val="0"/>
        <w:adjustRightInd w:val="0"/>
        <w:spacing w:after="0" w:line="240" w:lineRule="auto"/>
      </w:pPr>
      <w:r>
        <w:t>The increase in cost of water (directly) in the model leads to an overall increase in the cost of cultivation for irrigated crops in India. This results in an overall decrease in the irrigated cropland in India as can be seen in Figure 1. The decline begin</w:t>
      </w:r>
      <w:r w:rsidR="00FE2BC2">
        <w:t>s</w:t>
      </w:r>
      <w:r>
        <w:t xml:space="preserve"> in 2015 and continues at the same pace until 2050</w:t>
      </w:r>
      <w:r w:rsidR="00006A1D">
        <w:t xml:space="preserve"> in all the scenarios</w:t>
      </w:r>
      <w:r>
        <w:t xml:space="preserve">. </w:t>
      </w:r>
    </w:p>
    <w:p w14:paraId="0A21BD07" w14:textId="05B4D95D" w:rsidR="00D36791" w:rsidRDefault="00D36791" w:rsidP="008B7062">
      <w:pPr>
        <w:autoSpaceDE w:val="0"/>
        <w:autoSpaceDN w:val="0"/>
        <w:adjustRightInd w:val="0"/>
        <w:spacing w:after="0" w:line="240" w:lineRule="auto"/>
      </w:pPr>
    </w:p>
    <w:p w14:paraId="0603775E" w14:textId="45D82A7A" w:rsidR="00E25E96" w:rsidRDefault="00E25E96" w:rsidP="008B7062">
      <w:pPr>
        <w:autoSpaceDE w:val="0"/>
        <w:autoSpaceDN w:val="0"/>
        <w:adjustRightInd w:val="0"/>
        <w:spacing w:after="0" w:line="240" w:lineRule="auto"/>
      </w:pPr>
    </w:p>
    <w:p w14:paraId="10E259F9" w14:textId="77777777" w:rsidR="00E25E96" w:rsidRDefault="00E25E96" w:rsidP="008B7062">
      <w:pPr>
        <w:autoSpaceDE w:val="0"/>
        <w:autoSpaceDN w:val="0"/>
        <w:adjustRightInd w:val="0"/>
        <w:spacing w:after="0" w:line="240" w:lineRule="auto"/>
      </w:pPr>
    </w:p>
    <w:p w14:paraId="595EF8D1" w14:textId="0F1038A9" w:rsidR="00D36791" w:rsidRDefault="00D36791" w:rsidP="003664A8">
      <w:pPr>
        <w:autoSpaceDE w:val="0"/>
        <w:autoSpaceDN w:val="0"/>
        <w:adjustRightInd w:val="0"/>
        <w:spacing w:after="0" w:line="240" w:lineRule="auto"/>
        <w:jc w:val="center"/>
      </w:pPr>
      <w:r>
        <w:t>Figure 1: Total area under cereal cultivation (Irrigated)</w:t>
      </w:r>
    </w:p>
    <w:p w14:paraId="7C5A75B8" w14:textId="77777777" w:rsidR="00213FB9" w:rsidRDefault="00213FB9" w:rsidP="008B7062">
      <w:pPr>
        <w:autoSpaceDE w:val="0"/>
        <w:autoSpaceDN w:val="0"/>
        <w:adjustRightInd w:val="0"/>
        <w:spacing w:after="0" w:line="240" w:lineRule="auto"/>
      </w:pPr>
    </w:p>
    <w:p w14:paraId="7A40C5BE" w14:textId="42727AC0" w:rsidR="00213FB9" w:rsidRDefault="00E25E96" w:rsidP="003664A8">
      <w:pPr>
        <w:autoSpaceDE w:val="0"/>
        <w:autoSpaceDN w:val="0"/>
        <w:adjustRightInd w:val="0"/>
        <w:spacing w:after="0" w:line="240" w:lineRule="auto"/>
        <w:jc w:val="center"/>
      </w:pPr>
      <w:r w:rsidRPr="00E25E96">
        <w:rPr>
          <w:noProof/>
        </w:rPr>
        <w:drawing>
          <wp:inline distT="0" distB="0" distL="0" distR="0" wp14:anchorId="229C5BE4" wp14:editId="593E1E7D">
            <wp:extent cx="3698240" cy="3233556"/>
            <wp:effectExtent l="0" t="0" r="0" b="5080"/>
            <wp:docPr id="5" name="Picture 5" descr="C:\Users\IIMA\Dropbox (IFPRI)\PhD\Factor_costs\Figures\cereal_irriga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IMA\Dropbox (IFPRI)\PhD\Factor_costs\Figures\cereal_irrigated.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700970" cy="3235943"/>
                    </a:xfrm>
                    <a:prstGeom prst="rect">
                      <a:avLst/>
                    </a:prstGeom>
                    <a:noFill/>
                    <a:ln>
                      <a:noFill/>
                    </a:ln>
                  </pic:spPr>
                </pic:pic>
              </a:graphicData>
            </a:graphic>
          </wp:inline>
        </w:drawing>
      </w:r>
    </w:p>
    <w:p w14:paraId="5074BC5D" w14:textId="5C878429" w:rsidR="003664A8" w:rsidRDefault="00386B5E" w:rsidP="008B7062">
      <w:pPr>
        <w:autoSpaceDE w:val="0"/>
        <w:autoSpaceDN w:val="0"/>
        <w:adjustRightInd w:val="0"/>
        <w:spacing w:after="0" w:line="240" w:lineRule="auto"/>
      </w:pPr>
      <w:r>
        <w:t xml:space="preserve">Whereas cereal production under irrigated areas declines from 42 </w:t>
      </w:r>
      <w:proofErr w:type="spellStart"/>
      <w:r>
        <w:t>mHa</w:t>
      </w:r>
      <w:proofErr w:type="spellEnd"/>
      <w:r>
        <w:t xml:space="preserve"> in 2020 to </w:t>
      </w:r>
      <w:r w:rsidR="003B3036">
        <w:t xml:space="preserve">approximately 33 </w:t>
      </w:r>
      <w:proofErr w:type="spellStart"/>
      <w:r w:rsidR="003B3036">
        <w:t>mHa</w:t>
      </w:r>
      <w:proofErr w:type="spellEnd"/>
      <w:r w:rsidR="003B3036">
        <w:t xml:space="preserve"> in 2050 under the </w:t>
      </w:r>
      <w:r w:rsidR="003B3036" w:rsidRPr="003B3036">
        <w:rPr>
          <w:i/>
        </w:rPr>
        <w:t>default_plus150</w:t>
      </w:r>
      <w:r w:rsidR="003B3036">
        <w:t xml:space="preserve"> scenario. </w:t>
      </w:r>
      <w:r w:rsidR="00D801A8">
        <w:t xml:space="preserve">This decline is higher in the </w:t>
      </w:r>
      <w:r w:rsidR="00D801A8" w:rsidRPr="00D801A8">
        <w:rPr>
          <w:i/>
        </w:rPr>
        <w:t>default_plus300</w:t>
      </w:r>
      <w:r w:rsidR="00D801A8">
        <w:t xml:space="preserve"> scenario implyin</w:t>
      </w:r>
      <w:r w:rsidR="000C4942">
        <w:t xml:space="preserve">g that increase in costs of irrigation has a direct influence on irrigated cultivation. The difference in these impacts however, is different for different crops. Figure 2 below demonstrates this difference between rice and temperate cereals (primarily wheat) for India. </w:t>
      </w:r>
    </w:p>
    <w:p w14:paraId="6DC12A67" w14:textId="7C291E1A" w:rsidR="00D36791" w:rsidRDefault="003664A8" w:rsidP="008B7062">
      <w:pPr>
        <w:autoSpaceDE w:val="0"/>
        <w:autoSpaceDN w:val="0"/>
        <w:adjustRightInd w:val="0"/>
        <w:spacing w:after="0" w:line="240" w:lineRule="auto"/>
      </w:pPr>
      <w:r>
        <w:t xml:space="preserve"> </w:t>
      </w:r>
      <w:r w:rsidR="007A3665">
        <w:t xml:space="preserve">  </w:t>
      </w:r>
    </w:p>
    <w:p w14:paraId="19EB44E2" w14:textId="0DCA62A3" w:rsidR="003664A8" w:rsidRDefault="003664A8" w:rsidP="003664A8">
      <w:pPr>
        <w:autoSpaceDE w:val="0"/>
        <w:autoSpaceDN w:val="0"/>
        <w:adjustRightInd w:val="0"/>
        <w:spacing w:after="0" w:line="240" w:lineRule="auto"/>
        <w:jc w:val="center"/>
      </w:pPr>
      <w:r>
        <w:t>Figure 2: Total area under cereal cultivation by category (Irrigated)</w:t>
      </w:r>
    </w:p>
    <w:p w14:paraId="2836B406" w14:textId="77777777" w:rsidR="00803FCC" w:rsidRDefault="00803FCC" w:rsidP="003664A8">
      <w:pPr>
        <w:autoSpaceDE w:val="0"/>
        <w:autoSpaceDN w:val="0"/>
        <w:adjustRightInd w:val="0"/>
        <w:spacing w:after="0" w:line="240" w:lineRule="auto"/>
        <w:jc w:val="center"/>
      </w:pPr>
    </w:p>
    <w:p w14:paraId="118CB752" w14:textId="7CFCB4E6" w:rsidR="00855333" w:rsidRPr="00D36791" w:rsidRDefault="00E25E96" w:rsidP="003664A8">
      <w:pPr>
        <w:autoSpaceDE w:val="0"/>
        <w:autoSpaceDN w:val="0"/>
        <w:adjustRightInd w:val="0"/>
        <w:spacing w:after="0" w:line="240" w:lineRule="auto"/>
        <w:jc w:val="center"/>
      </w:pPr>
      <w:r w:rsidRPr="00E25E96">
        <w:rPr>
          <w:noProof/>
        </w:rPr>
        <w:drawing>
          <wp:inline distT="0" distB="0" distL="0" distR="0" wp14:anchorId="76F91B70" wp14:editId="3B19313B">
            <wp:extent cx="4300220" cy="2819400"/>
            <wp:effectExtent l="0" t="0" r="5080" b="0"/>
            <wp:docPr id="6" name="Picture 6" descr="C:\Users\IIMA\Dropbox (IFPRI)\PhD\Factor_costs\Figures\rice_tece_irriga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IIMA\Dropbox (IFPRI)\PhD\Factor_costs\Figures\rice_tece_irrigated.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329565" cy="2838640"/>
                    </a:xfrm>
                    <a:prstGeom prst="rect">
                      <a:avLst/>
                    </a:prstGeom>
                    <a:noFill/>
                    <a:ln>
                      <a:noFill/>
                    </a:ln>
                  </pic:spPr>
                </pic:pic>
              </a:graphicData>
            </a:graphic>
          </wp:inline>
        </w:drawing>
      </w:r>
    </w:p>
    <w:p w14:paraId="3E87B21F" w14:textId="050D6FEB" w:rsidR="00B5244B" w:rsidRDefault="00B5244B" w:rsidP="008B7062">
      <w:pPr>
        <w:autoSpaceDE w:val="0"/>
        <w:autoSpaceDN w:val="0"/>
        <w:adjustRightInd w:val="0"/>
        <w:spacing w:after="0" w:line="240" w:lineRule="auto"/>
        <w:rPr>
          <w:b/>
        </w:rPr>
      </w:pPr>
    </w:p>
    <w:p w14:paraId="06C5F064" w14:textId="1E03B0F7" w:rsidR="00B5244B" w:rsidRDefault="00B5244B" w:rsidP="008B7062">
      <w:pPr>
        <w:autoSpaceDE w:val="0"/>
        <w:autoSpaceDN w:val="0"/>
        <w:adjustRightInd w:val="0"/>
        <w:spacing w:after="0" w:line="240" w:lineRule="auto"/>
        <w:rPr>
          <w:b/>
        </w:rPr>
      </w:pPr>
    </w:p>
    <w:p w14:paraId="0EA8C76E" w14:textId="7BF77650" w:rsidR="00B5244B" w:rsidRDefault="00B5244B" w:rsidP="008B7062">
      <w:pPr>
        <w:autoSpaceDE w:val="0"/>
        <w:autoSpaceDN w:val="0"/>
        <w:adjustRightInd w:val="0"/>
        <w:spacing w:after="0" w:line="240" w:lineRule="auto"/>
        <w:rPr>
          <w:b/>
        </w:rPr>
      </w:pPr>
    </w:p>
    <w:p w14:paraId="55E5F4AE" w14:textId="01027097" w:rsidR="003664A8" w:rsidRDefault="003664A8" w:rsidP="003664A8">
      <w:pPr>
        <w:autoSpaceDE w:val="0"/>
        <w:autoSpaceDN w:val="0"/>
        <w:adjustRightInd w:val="0"/>
        <w:spacing w:after="0" w:line="240" w:lineRule="auto"/>
      </w:pPr>
      <w:r>
        <w:t>Cultivat</w:t>
      </w:r>
      <w:r w:rsidR="00235FF6">
        <w:t>ion</w:t>
      </w:r>
      <w:r>
        <w:t xml:space="preserve"> of rice under irrigated area observes a sharp decline in all the three scenarios, but is restored in 2040 to 5 </w:t>
      </w:r>
      <w:proofErr w:type="spellStart"/>
      <w:r>
        <w:t>mHa</w:t>
      </w:r>
      <w:proofErr w:type="spellEnd"/>
      <w:r>
        <w:t xml:space="preserve">. This is possibly due to the continued demand for rice to meet consumption demand of an increasing population. The same however, is not true for wheat which observes a continuous decline in irrigated area 2025 onwards. </w:t>
      </w:r>
      <w:r w:rsidR="00235FF6">
        <w:t xml:space="preserve">In 2050, the area under cultivation of irrigated temperate cereals is 21.9 </w:t>
      </w:r>
      <w:proofErr w:type="spellStart"/>
      <w:r w:rsidR="00235FF6">
        <w:t>mHA</w:t>
      </w:r>
      <w:proofErr w:type="spellEnd"/>
      <w:r w:rsidR="00235FF6">
        <w:t xml:space="preserve"> under the Business as Usual scenario whereas it is 20.1 </w:t>
      </w:r>
      <w:proofErr w:type="spellStart"/>
      <w:r w:rsidR="00235FF6">
        <w:t>mHA</w:t>
      </w:r>
      <w:proofErr w:type="spellEnd"/>
      <w:r w:rsidR="00235FF6">
        <w:t xml:space="preserve"> under the </w:t>
      </w:r>
      <w:r w:rsidR="00235FF6">
        <w:rPr>
          <w:i/>
        </w:rPr>
        <w:t>default_</w:t>
      </w:r>
      <w:r w:rsidR="00235FF6" w:rsidRPr="00235FF6">
        <w:t>plus300</w:t>
      </w:r>
      <w:r w:rsidR="00235FF6">
        <w:t xml:space="preserve"> scenario. </w:t>
      </w:r>
      <w:r w:rsidRPr="00235FF6">
        <w:t>The</w:t>
      </w:r>
      <w:r>
        <w:t xml:space="preserve"> model results predict that if water prices continue to rise, it will directly reduce the cultivated area of wheat under irrigated conditions</w:t>
      </w:r>
      <w:r w:rsidR="00D95BA8">
        <w:t xml:space="preserve"> without affecting production and yields</w:t>
      </w:r>
      <w:r>
        <w:t xml:space="preserve">. </w:t>
      </w:r>
    </w:p>
    <w:p w14:paraId="5F82D378" w14:textId="77777777" w:rsidR="00B5244B" w:rsidRDefault="00B5244B" w:rsidP="008B7062">
      <w:pPr>
        <w:autoSpaceDE w:val="0"/>
        <w:autoSpaceDN w:val="0"/>
        <w:adjustRightInd w:val="0"/>
        <w:spacing w:after="0" w:line="240" w:lineRule="auto"/>
        <w:rPr>
          <w:b/>
        </w:rPr>
      </w:pPr>
    </w:p>
    <w:p w14:paraId="449448B9" w14:textId="4BED6DC1" w:rsidR="007D105B" w:rsidRDefault="007D105B" w:rsidP="007D105B">
      <w:pPr>
        <w:autoSpaceDE w:val="0"/>
        <w:autoSpaceDN w:val="0"/>
        <w:adjustRightInd w:val="0"/>
        <w:spacing w:after="0" w:line="240" w:lineRule="auto"/>
        <w:jc w:val="center"/>
      </w:pPr>
      <w:r>
        <w:t xml:space="preserve">Figure 3: Yields for rice and temperate cereals </w:t>
      </w:r>
    </w:p>
    <w:p w14:paraId="2365A507" w14:textId="43A7F0B2" w:rsidR="00B5244B" w:rsidRDefault="00B5244B" w:rsidP="008B7062">
      <w:pPr>
        <w:autoSpaceDE w:val="0"/>
        <w:autoSpaceDN w:val="0"/>
        <w:adjustRightInd w:val="0"/>
        <w:spacing w:after="0" w:line="240" w:lineRule="auto"/>
        <w:rPr>
          <w:b/>
        </w:rPr>
      </w:pPr>
    </w:p>
    <w:p w14:paraId="77DC6F4A" w14:textId="2702E3E5" w:rsidR="00BB3F7B" w:rsidRDefault="007D105B" w:rsidP="007D105B">
      <w:pPr>
        <w:autoSpaceDE w:val="0"/>
        <w:autoSpaceDN w:val="0"/>
        <w:adjustRightInd w:val="0"/>
        <w:spacing w:after="0" w:line="240" w:lineRule="auto"/>
        <w:jc w:val="center"/>
        <w:rPr>
          <w:b/>
        </w:rPr>
      </w:pPr>
      <w:r w:rsidRPr="007D105B">
        <w:rPr>
          <w:b/>
          <w:noProof/>
        </w:rPr>
        <w:drawing>
          <wp:inline distT="0" distB="0" distL="0" distR="0" wp14:anchorId="55560F3F" wp14:editId="4F961697">
            <wp:extent cx="4119880" cy="3602217"/>
            <wp:effectExtent l="0" t="0" r="0" b="0"/>
            <wp:docPr id="7" name="Picture 7" descr="C:\Users\IIMA\Dropbox (IFPRI)\PhD\Factor_costs\Figures\rice_tece_yiel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IMA\Dropbox (IFPRI)\PhD\Factor_costs\Figures\rice_tece_yields.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127695" cy="3609050"/>
                    </a:xfrm>
                    <a:prstGeom prst="rect">
                      <a:avLst/>
                    </a:prstGeom>
                    <a:noFill/>
                    <a:ln>
                      <a:noFill/>
                    </a:ln>
                  </pic:spPr>
                </pic:pic>
              </a:graphicData>
            </a:graphic>
          </wp:inline>
        </w:drawing>
      </w:r>
    </w:p>
    <w:p w14:paraId="5941837F" w14:textId="20CE4536" w:rsidR="00BB3F7B" w:rsidRDefault="00BB3F7B" w:rsidP="008B7062">
      <w:pPr>
        <w:autoSpaceDE w:val="0"/>
        <w:autoSpaceDN w:val="0"/>
        <w:adjustRightInd w:val="0"/>
        <w:spacing w:after="0" w:line="240" w:lineRule="auto"/>
        <w:rPr>
          <w:b/>
        </w:rPr>
      </w:pPr>
    </w:p>
    <w:p w14:paraId="533C29DF" w14:textId="70E0D4A8" w:rsidR="00D95BA8" w:rsidRDefault="00D95BA8" w:rsidP="00E939F4">
      <w:pPr>
        <w:autoSpaceDE w:val="0"/>
        <w:autoSpaceDN w:val="0"/>
        <w:adjustRightInd w:val="0"/>
        <w:spacing w:after="0" w:line="240" w:lineRule="auto"/>
      </w:pPr>
      <w:r>
        <w:t xml:space="preserve">Although there are no implications on production of major crops such as rice and wheat, prices of both the crops observe increases in all the scenarios, as compared to the </w:t>
      </w:r>
      <w:r>
        <w:rPr>
          <w:i/>
        </w:rPr>
        <w:t>default</w:t>
      </w:r>
      <w:r>
        <w:t xml:space="preserve"> scenario. </w:t>
      </w:r>
      <w:r w:rsidR="00B6186D">
        <w:t xml:space="preserve">While prices continue to decline over the years in all the scenarios, we find that increase in water prices have a direct effect on crop prices, as can be seen in Figure 4. </w:t>
      </w:r>
      <w:r w:rsidR="004D20DE">
        <w:t xml:space="preserve">In the </w:t>
      </w:r>
      <w:r w:rsidR="004D20DE">
        <w:rPr>
          <w:i/>
        </w:rPr>
        <w:t>default</w:t>
      </w:r>
      <w:r w:rsidR="004D20DE">
        <w:t xml:space="preserve"> scenario, prices of rice decrease from 568 USD per tonne to 390 USD per tonne. For the </w:t>
      </w:r>
      <w:r w:rsidR="004D20DE" w:rsidRPr="004D20DE">
        <w:rPr>
          <w:i/>
        </w:rPr>
        <w:t>default_plus150</w:t>
      </w:r>
      <w:r w:rsidR="004D20DE">
        <w:t xml:space="preserve"> </w:t>
      </w:r>
      <w:r w:rsidR="00DE5A5C">
        <w:t xml:space="preserve">scenario, prices of rice per tonne reduced from </w:t>
      </w:r>
      <w:r w:rsidR="004D20DE">
        <w:t>589</w:t>
      </w:r>
      <w:r w:rsidR="00DE5A5C">
        <w:t xml:space="preserve"> USD</w:t>
      </w:r>
      <w:r w:rsidR="004D20DE">
        <w:t xml:space="preserve"> to 409</w:t>
      </w:r>
      <w:r w:rsidR="00DE5A5C">
        <w:t xml:space="preserve"> USD and similarly, for the</w:t>
      </w:r>
      <w:r w:rsidR="004D20DE">
        <w:t xml:space="preserve"> </w:t>
      </w:r>
      <w:r w:rsidR="004D20DE" w:rsidRPr="004D20DE">
        <w:rPr>
          <w:i/>
        </w:rPr>
        <w:t>default_plus300</w:t>
      </w:r>
      <w:r w:rsidR="00DE5A5C">
        <w:rPr>
          <w:i/>
        </w:rPr>
        <w:t xml:space="preserve"> </w:t>
      </w:r>
      <w:r w:rsidR="00DE5A5C">
        <w:t>scenario, these prices reduced from</w:t>
      </w:r>
      <w:r w:rsidR="004D20DE">
        <w:t xml:space="preserve"> 584 </w:t>
      </w:r>
      <w:r w:rsidR="00DE5A5C">
        <w:t xml:space="preserve">USD </w:t>
      </w:r>
      <w:r w:rsidR="004D20DE">
        <w:t>to 427</w:t>
      </w:r>
      <w:r w:rsidR="00DE5A5C">
        <w:t xml:space="preserve"> USD. A similar trend is observed in the prices of temperate cereals across all the scenarios. </w:t>
      </w:r>
    </w:p>
    <w:p w14:paraId="7C4B31C1" w14:textId="77777777" w:rsidR="00E939F4" w:rsidRDefault="00E939F4" w:rsidP="00E939F4">
      <w:pPr>
        <w:autoSpaceDE w:val="0"/>
        <w:autoSpaceDN w:val="0"/>
        <w:adjustRightInd w:val="0"/>
        <w:spacing w:after="0" w:line="240" w:lineRule="auto"/>
      </w:pPr>
    </w:p>
    <w:p w14:paraId="341407B0" w14:textId="77777777" w:rsidR="00D95BA8" w:rsidRDefault="00D95BA8" w:rsidP="00D95BA8">
      <w:pPr>
        <w:autoSpaceDE w:val="0"/>
        <w:autoSpaceDN w:val="0"/>
        <w:adjustRightInd w:val="0"/>
        <w:spacing w:after="0" w:line="240" w:lineRule="auto"/>
        <w:jc w:val="center"/>
      </w:pPr>
    </w:p>
    <w:p w14:paraId="2FBF43BC" w14:textId="77777777" w:rsidR="00D95BA8" w:rsidRDefault="00D95BA8" w:rsidP="00D95BA8">
      <w:pPr>
        <w:autoSpaceDE w:val="0"/>
        <w:autoSpaceDN w:val="0"/>
        <w:adjustRightInd w:val="0"/>
        <w:spacing w:after="0" w:line="240" w:lineRule="auto"/>
        <w:jc w:val="center"/>
      </w:pPr>
    </w:p>
    <w:p w14:paraId="3D26E8E8" w14:textId="77777777" w:rsidR="00D95BA8" w:rsidRDefault="00D95BA8" w:rsidP="00D95BA8">
      <w:pPr>
        <w:autoSpaceDE w:val="0"/>
        <w:autoSpaceDN w:val="0"/>
        <w:adjustRightInd w:val="0"/>
        <w:spacing w:after="0" w:line="240" w:lineRule="auto"/>
        <w:jc w:val="center"/>
      </w:pPr>
    </w:p>
    <w:p w14:paraId="60F3CCF3" w14:textId="77777777" w:rsidR="00D95BA8" w:rsidRDefault="00D95BA8" w:rsidP="00D95BA8">
      <w:pPr>
        <w:autoSpaceDE w:val="0"/>
        <w:autoSpaceDN w:val="0"/>
        <w:adjustRightInd w:val="0"/>
        <w:spacing w:after="0" w:line="240" w:lineRule="auto"/>
        <w:jc w:val="center"/>
      </w:pPr>
    </w:p>
    <w:p w14:paraId="20D085A3" w14:textId="77777777" w:rsidR="00D95BA8" w:rsidRDefault="00D95BA8" w:rsidP="00D95BA8">
      <w:pPr>
        <w:autoSpaceDE w:val="0"/>
        <w:autoSpaceDN w:val="0"/>
        <w:adjustRightInd w:val="0"/>
        <w:spacing w:after="0" w:line="240" w:lineRule="auto"/>
        <w:jc w:val="center"/>
      </w:pPr>
    </w:p>
    <w:p w14:paraId="2AC806F7" w14:textId="439B54E8" w:rsidR="00D95BA8" w:rsidRDefault="00D95BA8" w:rsidP="00D95BA8">
      <w:pPr>
        <w:autoSpaceDE w:val="0"/>
        <w:autoSpaceDN w:val="0"/>
        <w:adjustRightInd w:val="0"/>
        <w:spacing w:after="0" w:line="240" w:lineRule="auto"/>
        <w:jc w:val="center"/>
      </w:pPr>
      <w:r>
        <w:t xml:space="preserve">Figure </w:t>
      </w:r>
      <w:r w:rsidR="00B6186D">
        <w:t>4</w:t>
      </w:r>
      <w:r>
        <w:t xml:space="preserve">: Prices for rice and temperate cereals </w:t>
      </w:r>
    </w:p>
    <w:p w14:paraId="4A14848F" w14:textId="39A5983E" w:rsidR="008F66BB" w:rsidRDefault="008F66BB" w:rsidP="008B7062">
      <w:pPr>
        <w:autoSpaceDE w:val="0"/>
        <w:autoSpaceDN w:val="0"/>
        <w:adjustRightInd w:val="0"/>
        <w:spacing w:after="0" w:line="240" w:lineRule="auto"/>
        <w:rPr>
          <w:b/>
        </w:rPr>
      </w:pPr>
    </w:p>
    <w:p w14:paraId="51003994" w14:textId="49CD9D40" w:rsidR="001E3DF6" w:rsidRDefault="00D95BA8" w:rsidP="00D95BA8">
      <w:pPr>
        <w:autoSpaceDE w:val="0"/>
        <w:autoSpaceDN w:val="0"/>
        <w:adjustRightInd w:val="0"/>
        <w:spacing w:after="0" w:line="240" w:lineRule="auto"/>
        <w:jc w:val="center"/>
        <w:rPr>
          <w:b/>
        </w:rPr>
      </w:pPr>
      <w:r w:rsidRPr="00D95BA8">
        <w:rPr>
          <w:b/>
          <w:noProof/>
        </w:rPr>
        <w:drawing>
          <wp:inline distT="0" distB="0" distL="0" distR="0" wp14:anchorId="4BD86B72" wp14:editId="45D912C8">
            <wp:extent cx="4093893" cy="2941320"/>
            <wp:effectExtent l="0" t="0" r="1905" b="0"/>
            <wp:docPr id="8" name="Picture 8" descr="C:\Users\IIMA\Dropbox (IFPRI)\PhD\Factor_costs\Figures\rice_tece_pr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IIMA\Dropbox (IFPRI)\PhD\Factor_costs\Figures\rice_tece_price.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093893" cy="2941320"/>
                    </a:xfrm>
                    <a:prstGeom prst="rect">
                      <a:avLst/>
                    </a:prstGeom>
                    <a:noFill/>
                    <a:ln>
                      <a:noFill/>
                    </a:ln>
                  </pic:spPr>
                </pic:pic>
              </a:graphicData>
            </a:graphic>
          </wp:inline>
        </w:drawing>
      </w:r>
    </w:p>
    <w:p w14:paraId="77A46FE3" w14:textId="68F282C2" w:rsidR="001E3DF6" w:rsidRDefault="00323862" w:rsidP="008B7062">
      <w:pPr>
        <w:autoSpaceDE w:val="0"/>
        <w:autoSpaceDN w:val="0"/>
        <w:adjustRightInd w:val="0"/>
        <w:spacing w:after="0" w:line="240" w:lineRule="auto"/>
      </w:pPr>
      <w:r>
        <w:t>The effect of rising prices of major crops such as wheat and rice due to the increased factor costs can be seen in the food price index as well. Overall, in the model, the food price index demonstrates a decreasing trend, implying that as population grows and food production increases due to technological chan</w:t>
      </w:r>
      <w:r w:rsidR="008968EB">
        <w:t xml:space="preserve">ge, the purchase price of food products will increasingly decline as can be seen in Figure 5. </w:t>
      </w:r>
    </w:p>
    <w:p w14:paraId="64380AD4" w14:textId="5504493F" w:rsidR="007E0119" w:rsidRDefault="007E0119" w:rsidP="008B7062">
      <w:pPr>
        <w:autoSpaceDE w:val="0"/>
        <w:autoSpaceDN w:val="0"/>
        <w:adjustRightInd w:val="0"/>
        <w:spacing w:after="0" w:line="240" w:lineRule="auto"/>
      </w:pPr>
    </w:p>
    <w:p w14:paraId="23407B94" w14:textId="3106C696" w:rsidR="007E0119" w:rsidRDefault="007E0119" w:rsidP="007E0119">
      <w:pPr>
        <w:autoSpaceDE w:val="0"/>
        <w:autoSpaceDN w:val="0"/>
        <w:adjustRightInd w:val="0"/>
        <w:spacing w:after="0" w:line="240" w:lineRule="auto"/>
        <w:jc w:val="center"/>
      </w:pPr>
      <w:r>
        <w:t xml:space="preserve">Figure </w:t>
      </w:r>
      <w:r w:rsidR="00004EED">
        <w:t>5</w:t>
      </w:r>
      <w:r>
        <w:t xml:space="preserve">: Food Price Index </w:t>
      </w:r>
    </w:p>
    <w:p w14:paraId="207AD4C0" w14:textId="77777777" w:rsidR="007E0119" w:rsidRDefault="007E0119" w:rsidP="008B7062">
      <w:pPr>
        <w:autoSpaceDE w:val="0"/>
        <w:autoSpaceDN w:val="0"/>
        <w:adjustRightInd w:val="0"/>
        <w:spacing w:after="0" w:line="240" w:lineRule="auto"/>
      </w:pPr>
    </w:p>
    <w:p w14:paraId="4FD689A5" w14:textId="54C36FC0" w:rsidR="007E0119" w:rsidRPr="00323862" w:rsidRDefault="007E0119" w:rsidP="007E0119">
      <w:pPr>
        <w:autoSpaceDE w:val="0"/>
        <w:autoSpaceDN w:val="0"/>
        <w:adjustRightInd w:val="0"/>
        <w:spacing w:after="0" w:line="240" w:lineRule="auto"/>
        <w:jc w:val="center"/>
      </w:pPr>
      <w:r w:rsidRPr="007E0119">
        <w:rPr>
          <w:noProof/>
        </w:rPr>
        <w:drawing>
          <wp:inline distT="0" distB="0" distL="0" distR="0" wp14:anchorId="68A30CE3" wp14:editId="0858D7DA">
            <wp:extent cx="3429000" cy="2998149"/>
            <wp:effectExtent l="0" t="0" r="0" b="0"/>
            <wp:docPr id="9" name="Picture 9" descr="C:\Users\IIMA\Dropbox (IFPRI)\PhD\Factor_costs\Figures\food_price_ind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IIMA\Dropbox (IFPRI)\PhD\Factor_costs\Figures\food_price_index.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444948" cy="3012093"/>
                    </a:xfrm>
                    <a:prstGeom prst="rect">
                      <a:avLst/>
                    </a:prstGeom>
                    <a:noFill/>
                    <a:ln>
                      <a:noFill/>
                    </a:ln>
                  </pic:spPr>
                </pic:pic>
              </a:graphicData>
            </a:graphic>
          </wp:inline>
        </w:drawing>
      </w:r>
    </w:p>
    <w:p w14:paraId="5419563A" w14:textId="35F27F18" w:rsidR="00DE7244" w:rsidRDefault="00DE7244" w:rsidP="002776E5">
      <w:pPr>
        <w:autoSpaceDE w:val="0"/>
        <w:autoSpaceDN w:val="0"/>
        <w:adjustRightInd w:val="0"/>
        <w:spacing w:after="0" w:line="240" w:lineRule="auto"/>
      </w:pPr>
    </w:p>
    <w:p w14:paraId="462F575D" w14:textId="33028680" w:rsidR="002B7471" w:rsidRDefault="00B952E7" w:rsidP="002776E5">
      <w:pPr>
        <w:autoSpaceDE w:val="0"/>
        <w:autoSpaceDN w:val="0"/>
        <w:adjustRightInd w:val="0"/>
        <w:spacing w:after="0" w:line="240" w:lineRule="auto"/>
      </w:pPr>
      <w:r>
        <w:t xml:space="preserve">Our model allowed for free trade for products at the global level, but we do not observe any change in traded quantities of staple crops in the three scenarios. Similarly, there is no observed change in food demand of crops over the years across the scenarios. </w:t>
      </w:r>
    </w:p>
    <w:p w14:paraId="02EE9A9F" w14:textId="2E0E5B45" w:rsidR="00AE3F5E" w:rsidRDefault="00AE3F5E" w:rsidP="002776E5">
      <w:pPr>
        <w:autoSpaceDE w:val="0"/>
        <w:autoSpaceDN w:val="0"/>
        <w:adjustRightInd w:val="0"/>
        <w:spacing w:after="0" w:line="240" w:lineRule="auto"/>
      </w:pPr>
      <w:r>
        <w:lastRenderedPageBreak/>
        <w:t xml:space="preserve">At the spatial level, we are able to assess the transition in irrigated cropland across the country through the figures below: </w:t>
      </w:r>
    </w:p>
    <w:p w14:paraId="68690249" w14:textId="77777777" w:rsidR="00AE3F5E" w:rsidRDefault="00AE3F5E" w:rsidP="002776E5">
      <w:pPr>
        <w:autoSpaceDE w:val="0"/>
        <w:autoSpaceDN w:val="0"/>
        <w:adjustRightInd w:val="0"/>
        <w:spacing w:after="0" w:line="240" w:lineRule="auto"/>
      </w:pPr>
      <w:r w:rsidRPr="00AE3F5E">
        <w:rPr>
          <w:noProof/>
        </w:rPr>
        <w:drawing>
          <wp:inline distT="0" distB="0" distL="0" distR="0" wp14:anchorId="253AB597" wp14:editId="0235A9F8">
            <wp:extent cx="5674995" cy="3906138"/>
            <wp:effectExtent l="0" t="0" r="1905" b="0"/>
            <wp:docPr id="11" name="Picture 11" descr="C:\Users\IIMA\Dropbox (IFPRI)\PhD\GIS tools\Irrigated area for rice 20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IIMA\Dropbox (IFPRI)\PhD\GIS tools\Irrigated area for rice 2050.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680346" cy="3909821"/>
                    </a:xfrm>
                    <a:prstGeom prst="rect">
                      <a:avLst/>
                    </a:prstGeom>
                    <a:noFill/>
                    <a:ln>
                      <a:noFill/>
                    </a:ln>
                  </pic:spPr>
                </pic:pic>
              </a:graphicData>
            </a:graphic>
          </wp:inline>
        </w:drawing>
      </w:r>
    </w:p>
    <w:p w14:paraId="7B737A66" w14:textId="77777777" w:rsidR="00AE3F5E" w:rsidRDefault="00AE3F5E" w:rsidP="002776E5">
      <w:pPr>
        <w:autoSpaceDE w:val="0"/>
        <w:autoSpaceDN w:val="0"/>
        <w:adjustRightInd w:val="0"/>
        <w:spacing w:after="0" w:line="240" w:lineRule="auto"/>
      </w:pPr>
    </w:p>
    <w:p w14:paraId="77D029CC" w14:textId="1F899059" w:rsidR="00AE3F5E" w:rsidRPr="00B952E7" w:rsidRDefault="00AE3F5E" w:rsidP="002776E5">
      <w:pPr>
        <w:autoSpaceDE w:val="0"/>
        <w:autoSpaceDN w:val="0"/>
        <w:adjustRightInd w:val="0"/>
        <w:spacing w:after="0" w:line="240" w:lineRule="auto"/>
      </w:pPr>
      <w:r w:rsidRPr="00AE3F5E">
        <w:rPr>
          <w:noProof/>
        </w:rPr>
        <w:lastRenderedPageBreak/>
        <w:drawing>
          <wp:inline distT="0" distB="0" distL="0" distR="0" wp14:anchorId="58552FB4" wp14:editId="0FF5F115">
            <wp:extent cx="5212080" cy="3918770"/>
            <wp:effectExtent l="0" t="0" r="7620" b="5715"/>
            <wp:docPr id="10" name="Picture 10" descr="C:\Users\IIMA\Dropbox (IFPRI)\PhD\GIS tools\Irrigated area for rice 20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IMA\Dropbox (IFPRI)\PhD\GIS tools\Irrigated area for rice 2020.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25578" cy="3928918"/>
                    </a:xfrm>
                    <a:prstGeom prst="rect">
                      <a:avLst/>
                    </a:prstGeom>
                    <a:noFill/>
                    <a:ln>
                      <a:noFill/>
                    </a:ln>
                  </pic:spPr>
                </pic:pic>
              </a:graphicData>
            </a:graphic>
          </wp:inline>
        </w:drawing>
      </w:r>
    </w:p>
    <w:p w14:paraId="634A74BF" w14:textId="77777777" w:rsidR="002B7471" w:rsidRDefault="002B7471" w:rsidP="002776E5">
      <w:pPr>
        <w:autoSpaceDE w:val="0"/>
        <w:autoSpaceDN w:val="0"/>
        <w:adjustRightInd w:val="0"/>
        <w:spacing w:after="0" w:line="240" w:lineRule="auto"/>
        <w:rPr>
          <w:b/>
        </w:rPr>
      </w:pPr>
    </w:p>
    <w:p w14:paraId="1C7471E1" w14:textId="77777777" w:rsidR="002B7471" w:rsidRDefault="002B7471" w:rsidP="002776E5">
      <w:pPr>
        <w:autoSpaceDE w:val="0"/>
        <w:autoSpaceDN w:val="0"/>
        <w:adjustRightInd w:val="0"/>
        <w:spacing w:after="0" w:line="240" w:lineRule="auto"/>
        <w:rPr>
          <w:b/>
        </w:rPr>
      </w:pPr>
    </w:p>
    <w:p w14:paraId="015DC9FB" w14:textId="3A6DAC36" w:rsidR="0017728E" w:rsidRPr="00DE580E" w:rsidRDefault="00DE580E" w:rsidP="002776E5">
      <w:pPr>
        <w:autoSpaceDE w:val="0"/>
        <w:autoSpaceDN w:val="0"/>
        <w:adjustRightInd w:val="0"/>
        <w:spacing w:after="0" w:line="240" w:lineRule="auto"/>
        <w:rPr>
          <w:b/>
        </w:rPr>
      </w:pPr>
      <w:r w:rsidRPr="00DE580E">
        <w:rPr>
          <w:b/>
        </w:rPr>
        <w:t xml:space="preserve">Discussion </w:t>
      </w:r>
    </w:p>
    <w:p w14:paraId="6E73EE0E" w14:textId="3A418B8C" w:rsidR="00D34438" w:rsidRDefault="00D34438" w:rsidP="00DE580E">
      <w:pPr>
        <w:autoSpaceDE w:val="0"/>
        <w:autoSpaceDN w:val="0"/>
        <w:adjustRightInd w:val="0"/>
        <w:spacing w:after="0" w:line="240" w:lineRule="auto"/>
      </w:pPr>
    </w:p>
    <w:p w14:paraId="681122E7" w14:textId="0CFB16CA" w:rsidR="007E0119" w:rsidRDefault="00DE580E" w:rsidP="00DE580E">
      <w:pPr>
        <w:autoSpaceDE w:val="0"/>
        <w:autoSpaceDN w:val="0"/>
        <w:adjustRightInd w:val="0"/>
        <w:spacing w:after="0" w:line="240" w:lineRule="auto"/>
      </w:pPr>
      <w:r>
        <w:t xml:space="preserve">Our results are in line with other studies observed for India, where we find that a reduction in irrigation water availability (through monetary policy changes or groundwater depletion) will cause a reduction in cropping intensity for cereal crops in India </w:t>
      </w:r>
      <w:r>
        <w:fldChar w:fldCharType="begin"/>
      </w:r>
      <w:r>
        <w:instrText xml:space="preserve"> ADDIN ZOTERO_ITEM CSL_CITATION {"citationID":"mHBdbi4v","properties":{"formattedCitation":"(Jain et al., 2021)","plainCitation":"(Jain et al., 2021)","noteIndex":0},"citationItems":[{"id":304,"uris":["http://zotero.org/users/local/LupjHtya/items/4C5HFQUE"],"uri":["http://zotero.org/users/local/LupjHtya/items/4C5HFQUE"],"itemData":{"id":304,"type":"article-journal","abstract":"Groundwater depletion is becoming a global threat to food security, yet the ultimate impacts of depletion on agricultural production and the efficacy of available adaptation strategies remain poorly quantified. We use high-resolution satellite and census data from India, the world’s largest consumer of groundwater, to quantify the impacts of groundwater depletion on cropping intensity, a crucial driver of agricultural production. Our results suggest that, given current depletion trends, cropping intensity may decrease by 20% nationwide and by 68% in groundwater-depleted regions. Even if surface irrigation delivery is increased as a supply-side adaptation strategy, which is being widely promoted by the Indian government, cropping intensity will decrease, become more vulnerable to interannual rainfall variability, and become more spatially uneven. We find that groundwater and canal irrigation are not substitutable and that additional adaptation strategies will be necessary to maintain current levels of production in the face of groundwater depletion.","container-title":"Science Advances","DOI":"10.1126/sciadv.abd2849","issue":"9","journalAbbreviation":"Sci Adv","page":"eabd2849","title":"Groundwater depletion will reduce cropping intensity in India","volume":"7","author":[{"family":"Jain","given":"Meha"},{"family":"Fishman","given":"Ram"},{"family":"Mondal","given":"Pinki"},{"family":"Galford","given":"Gillian L."},{"family":"Bhattarai","given":"Nishan"},{"family":"Naeem","given":"Shahid"},{"family":"Lall","given":"Upmanu"},{"literal":"Balwinder-Singh"},{"family":"DeFries","given":"Ruth S."}],"issued":{"date-parts":[["2021",2,1]]}}}],"schema":"https://github.com/citation-style-language/schema/raw/master/csl-citation.json"} </w:instrText>
      </w:r>
      <w:r>
        <w:fldChar w:fldCharType="separate"/>
      </w:r>
      <w:r w:rsidRPr="00120375">
        <w:rPr>
          <w:rFonts w:ascii="Calibri" w:hAnsi="Calibri" w:cs="Calibri"/>
        </w:rPr>
        <w:t>(Jain et al., 2021)</w:t>
      </w:r>
      <w:r>
        <w:fldChar w:fldCharType="end"/>
      </w:r>
      <w:r>
        <w:t xml:space="preserve">. </w:t>
      </w:r>
      <w:r w:rsidR="007D0A48">
        <w:t xml:space="preserve">This reduction is more so in the case of rice than wheat, thereby suggesting that irrigated wheat cultivation is less elastic as compared to rice and despite almost doubling of water prices, the cultivated area of wheat reduced by approximately 8%. </w:t>
      </w:r>
      <w:r w:rsidR="00517C7B">
        <w:t xml:space="preserve">We observe an increase in rise in prices of major food products despite a larger share in their contribution to food security in India. This has direct implications on food affordability for the larger and continuously growing population in the future. </w:t>
      </w:r>
    </w:p>
    <w:p w14:paraId="432F33AA" w14:textId="77777777" w:rsidR="007E0119" w:rsidRDefault="007E0119" w:rsidP="00DE580E">
      <w:pPr>
        <w:autoSpaceDE w:val="0"/>
        <w:autoSpaceDN w:val="0"/>
        <w:adjustRightInd w:val="0"/>
        <w:spacing w:after="0" w:line="240" w:lineRule="auto"/>
      </w:pPr>
    </w:p>
    <w:p w14:paraId="272C534E" w14:textId="1095D9F6" w:rsidR="00DE580E" w:rsidRDefault="00517C7B" w:rsidP="00DE580E">
      <w:pPr>
        <w:autoSpaceDE w:val="0"/>
        <w:autoSpaceDN w:val="0"/>
        <w:adjustRightInd w:val="0"/>
        <w:spacing w:after="0" w:line="240" w:lineRule="auto"/>
      </w:pPr>
      <w:r>
        <w:t xml:space="preserve">Additional analysis needs to be undertaken </w:t>
      </w:r>
      <w:r w:rsidR="00323862">
        <w:t>to evaluate the intra-regional implication</w:t>
      </w:r>
      <w:r w:rsidR="00B25ACB">
        <w:t xml:space="preserve">s of the reduction in cultivated area of rice and wheat as well as increased population on consumers. Moving ahead, </w:t>
      </w:r>
      <w:r w:rsidR="00C5422D">
        <w:t>these analyses</w:t>
      </w:r>
      <w:r w:rsidR="00B25ACB">
        <w:t xml:space="preserve"> will be undertaken. </w:t>
      </w:r>
      <w:r w:rsidR="00C5422D">
        <w:t xml:space="preserve">The paper also does not account for change in water availability due to changing climate scenarios as this would have certain implications on the changing crop pattern systems in the country. </w:t>
      </w:r>
    </w:p>
    <w:p w14:paraId="40D98971" w14:textId="747A94A1" w:rsidR="00DE580E" w:rsidRDefault="00DE580E" w:rsidP="002776E5">
      <w:pPr>
        <w:autoSpaceDE w:val="0"/>
        <w:autoSpaceDN w:val="0"/>
        <w:adjustRightInd w:val="0"/>
        <w:spacing w:after="0" w:line="240" w:lineRule="auto"/>
      </w:pPr>
    </w:p>
    <w:p w14:paraId="1DA4E9DD" w14:textId="77777777" w:rsidR="00DE580E" w:rsidRPr="00C92236" w:rsidRDefault="00DE580E" w:rsidP="002776E5">
      <w:pPr>
        <w:autoSpaceDE w:val="0"/>
        <w:autoSpaceDN w:val="0"/>
        <w:adjustRightInd w:val="0"/>
        <w:spacing w:after="0" w:line="240" w:lineRule="auto"/>
      </w:pPr>
    </w:p>
    <w:p w14:paraId="2016DC2B" w14:textId="77777777" w:rsidR="007C16D4" w:rsidRPr="00946D7F" w:rsidRDefault="007C16D4" w:rsidP="007C16D4">
      <w:pPr>
        <w:autoSpaceDE w:val="0"/>
        <w:autoSpaceDN w:val="0"/>
        <w:adjustRightInd w:val="0"/>
        <w:spacing w:after="0" w:line="240" w:lineRule="auto"/>
        <w:jc w:val="both"/>
        <w:rPr>
          <w:rFonts w:cstheme="minorHAnsi"/>
          <w:b/>
        </w:rPr>
      </w:pPr>
      <w:r w:rsidRPr="00946D7F">
        <w:rPr>
          <w:rFonts w:cstheme="minorHAnsi"/>
          <w:b/>
        </w:rPr>
        <w:t xml:space="preserve">Limitations </w:t>
      </w:r>
    </w:p>
    <w:p w14:paraId="28092C99" w14:textId="0957AA22" w:rsidR="007C16D4" w:rsidRDefault="007C16D4" w:rsidP="007C16D4">
      <w:pPr>
        <w:autoSpaceDE w:val="0"/>
        <w:autoSpaceDN w:val="0"/>
        <w:adjustRightInd w:val="0"/>
        <w:spacing w:after="0" w:line="240" w:lineRule="auto"/>
        <w:jc w:val="both"/>
        <w:rPr>
          <w:rFonts w:cstheme="minorHAnsi"/>
        </w:rPr>
      </w:pPr>
      <w:r w:rsidRPr="00D9756A">
        <w:rPr>
          <w:rFonts w:cstheme="minorHAnsi"/>
        </w:rPr>
        <w:t xml:space="preserve">In </w:t>
      </w:r>
      <w:r>
        <w:rPr>
          <w:rFonts w:cstheme="minorHAnsi"/>
        </w:rPr>
        <w:t>our model setup</w:t>
      </w:r>
      <w:r w:rsidRPr="00D9756A">
        <w:rPr>
          <w:rFonts w:cstheme="minorHAnsi"/>
        </w:rPr>
        <w:t>, regardless of the cellular productivity, the factor costs per area are identical for all cells within a region. This implicitly gives an incentive to allocate and concentrate production to highly productive cells.</w:t>
      </w:r>
      <w:r>
        <w:rPr>
          <w:rFonts w:cstheme="minorHAnsi"/>
        </w:rPr>
        <w:t xml:space="preserve"> One limitation is that the model </w:t>
      </w:r>
      <w:r w:rsidRPr="00D9756A">
        <w:rPr>
          <w:rFonts w:cstheme="minorHAnsi"/>
        </w:rPr>
        <w:t>assumes that factor costs only depend on area and average productivity of a region. Productivity differences</w:t>
      </w:r>
      <w:r>
        <w:rPr>
          <w:rFonts w:cstheme="minorHAnsi"/>
        </w:rPr>
        <w:t xml:space="preserve"> as well as capital investments made on regions </w:t>
      </w:r>
      <w:r>
        <w:rPr>
          <w:rFonts w:cstheme="minorHAnsi"/>
        </w:rPr>
        <w:lastRenderedPageBreak/>
        <w:t>to improve their productivity</w:t>
      </w:r>
      <w:r w:rsidRPr="00D9756A">
        <w:rPr>
          <w:rFonts w:cstheme="minorHAnsi"/>
        </w:rPr>
        <w:t xml:space="preserve"> within a region are ignored. </w:t>
      </w:r>
      <w:r>
        <w:rPr>
          <w:rFonts w:cstheme="minorHAnsi"/>
        </w:rPr>
        <w:t xml:space="preserve">It is assumed that capital is perfectly mobile. </w:t>
      </w:r>
      <w:r w:rsidRPr="00D9756A">
        <w:rPr>
          <w:rFonts w:cstheme="minorHAnsi"/>
        </w:rPr>
        <w:t>Therefore, cases in which the cellular productivity levels affect factors costs are only partially accounted for</w:t>
      </w:r>
      <w:r>
        <w:rPr>
          <w:rFonts w:cstheme="minorHAnsi"/>
        </w:rPr>
        <w:t>. We also assume that irrigation efficiency remains same for all cells within a region, therefore, inter-regional disparities are not accounted for.</w:t>
      </w:r>
      <w:r w:rsidR="00B62639">
        <w:rPr>
          <w:rFonts w:cstheme="minorHAnsi"/>
        </w:rPr>
        <w:t xml:space="preserve"> Additionally, u</w:t>
      </w:r>
      <w:r w:rsidR="00B62639">
        <w:t>sing physical production as a weight for the land rent assumes, that the economic output is equal for all units produced. In reality, this is not the case as prices for agricultural products vary strongly over the season. If irrigation can help to provide a commodity at a time where it is rather scarce and the price is high, the economic value of irrigation is higher than physical production numbers would suggest. As a result, this method of distinguishing rainfed and irrigated rents by physical production may lead to an underestimation of irrigated rent. The size of this effect is not easily quantifiable however and depends very much on the irrigation project under investigation.</w:t>
      </w:r>
    </w:p>
    <w:p w14:paraId="7DC96D0F" w14:textId="0300AE4C" w:rsidR="00A124B6" w:rsidRDefault="00A124B6" w:rsidP="00ED670B">
      <w:pPr>
        <w:autoSpaceDE w:val="0"/>
        <w:autoSpaceDN w:val="0"/>
        <w:adjustRightInd w:val="0"/>
        <w:spacing w:after="0" w:line="240" w:lineRule="auto"/>
        <w:rPr>
          <w:rFonts w:ascii="MinionPro-Regular" w:hAnsi="MinionPro-Regular" w:cs="MinionPro-Regular"/>
          <w:sz w:val="18"/>
          <w:szCs w:val="18"/>
        </w:rPr>
      </w:pPr>
    </w:p>
    <w:p w14:paraId="4C2B3C60" w14:textId="77777777" w:rsidR="007C16D4" w:rsidRDefault="007C16D4" w:rsidP="00ED670B">
      <w:pPr>
        <w:autoSpaceDE w:val="0"/>
        <w:autoSpaceDN w:val="0"/>
        <w:adjustRightInd w:val="0"/>
        <w:spacing w:after="0" w:line="240" w:lineRule="auto"/>
        <w:rPr>
          <w:rFonts w:ascii="MinionPro-Regular" w:hAnsi="MinionPro-Regular" w:cs="MinionPro-Regular"/>
          <w:sz w:val="18"/>
          <w:szCs w:val="18"/>
        </w:rPr>
      </w:pPr>
    </w:p>
    <w:p w14:paraId="30D8FE28" w14:textId="77777777" w:rsidR="002776E5" w:rsidRDefault="002776E5" w:rsidP="003D780A">
      <w:pPr>
        <w:autoSpaceDE w:val="0"/>
        <w:autoSpaceDN w:val="0"/>
        <w:adjustRightInd w:val="0"/>
        <w:spacing w:after="0" w:line="240" w:lineRule="auto"/>
        <w:rPr>
          <w:rFonts w:ascii="MinionPro-Regular" w:hAnsi="MinionPro-Regular" w:cs="MinionPro-Regular"/>
          <w:sz w:val="18"/>
          <w:szCs w:val="18"/>
        </w:rPr>
      </w:pPr>
    </w:p>
    <w:p w14:paraId="36A4FA68" w14:textId="77777777" w:rsidR="002776E5" w:rsidRPr="00C92236" w:rsidRDefault="002776E5" w:rsidP="002776E5">
      <w:pPr>
        <w:pStyle w:val="ListParagraph"/>
        <w:autoSpaceDE w:val="0"/>
        <w:autoSpaceDN w:val="0"/>
        <w:adjustRightInd w:val="0"/>
        <w:spacing w:after="0" w:line="240" w:lineRule="auto"/>
        <w:ind w:left="1080"/>
      </w:pPr>
    </w:p>
    <w:p w14:paraId="2D1C4161" w14:textId="3004FBE2" w:rsidR="002365E4" w:rsidRDefault="002365E4" w:rsidP="003D780A">
      <w:pPr>
        <w:autoSpaceDE w:val="0"/>
        <w:autoSpaceDN w:val="0"/>
        <w:adjustRightInd w:val="0"/>
        <w:spacing w:after="0" w:line="240" w:lineRule="auto"/>
      </w:pPr>
    </w:p>
    <w:p w14:paraId="4A3FD82E" w14:textId="6F2DB7F8" w:rsidR="002365E4" w:rsidRPr="002365E4" w:rsidRDefault="002365E4" w:rsidP="003D780A">
      <w:pPr>
        <w:autoSpaceDE w:val="0"/>
        <w:autoSpaceDN w:val="0"/>
        <w:adjustRightInd w:val="0"/>
        <w:spacing w:after="0" w:line="240" w:lineRule="auto"/>
        <w:rPr>
          <w:b/>
        </w:rPr>
      </w:pPr>
      <w:r w:rsidRPr="002365E4">
        <w:rPr>
          <w:b/>
        </w:rPr>
        <w:t>References</w:t>
      </w:r>
    </w:p>
    <w:p w14:paraId="61D992B4" w14:textId="77777777" w:rsidR="002B7471" w:rsidRPr="002B7471" w:rsidRDefault="002B7471" w:rsidP="002B7471">
      <w:pPr>
        <w:pStyle w:val="Bibliography"/>
        <w:rPr>
          <w:rFonts w:ascii="MinionPro-Regular" w:hAnsi="MinionPro-Regular"/>
          <w:sz w:val="18"/>
        </w:rPr>
      </w:pPr>
      <w:r>
        <w:rPr>
          <w:rFonts w:ascii="MinionPro-Regular" w:hAnsi="MinionPro-Regular" w:cs="MinionPro-Regular"/>
          <w:sz w:val="18"/>
          <w:szCs w:val="18"/>
        </w:rPr>
        <w:fldChar w:fldCharType="begin"/>
      </w:r>
      <w:r>
        <w:rPr>
          <w:rFonts w:ascii="MinionPro-Regular" w:hAnsi="MinionPro-Regular" w:cs="MinionPro-Regular"/>
          <w:sz w:val="18"/>
          <w:szCs w:val="18"/>
        </w:rPr>
        <w:instrText xml:space="preserve"> ADDIN ZOTERO_BIBL {"uncited":[],"omitted":[],"custom":[]} CSL_BIBLIOGRAPHY </w:instrText>
      </w:r>
      <w:r>
        <w:rPr>
          <w:rFonts w:ascii="MinionPro-Regular" w:hAnsi="MinionPro-Regular" w:cs="MinionPro-Regular"/>
          <w:sz w:val="18"/>
          <w:szCs w:val="18"/>
        </w:rPr>
        <w:fldChar w:fldCharType="separate"/>
      </w:r>
      <w:r w:rsidRPr="002B7471">
        <w:rPr>
          <w:rFonts w:ascii="MinionPro-Regular" w:hAnsi="MinionPro-Regular"/>
          <w:sz w:val="18"/>
        </w:rPr>
        <w:t xml:space="preserve">Aeschbach-Hertig, W., &amp; Gleeson, T. (2012). Regional strategies for the accelerating global problem of groundwater depletion. </w:t>
      </w:r>
      <w:r w:rsidRPr="002B7471">
        <w:rPr>
          <w:rFonts w:ascii="MinionPro-Regular" w:hAnsi="MinionPro-Regular"/>
          <w:i/>
          <w:iCs/>
          <w:sz w:val="18"/>
        </w:rPr>
        <w:t>Nature Geoscience</w:t>
      </w:r>
      <w:r w:rsidRPr="002B7471">
        <w:rPr>
          <w:rFonts w:ascii="MinionPro-Regular" w:hAnsi="MinionPro-Regular"/>
          <w:sz w:val="18"/>
        </w:rPr>
        <w:t xml:space="preserve">, </w:t>
      </w:r>
      <w:r w:rsidRPr="002B7471">
        <w:rPr>
          <w:rFonts w:ascii="MinionPro-Regular" w:hAnsi="MinionPro-Regular"/>
          <w:i/>
          <w:iCs/>
          <w:sz w:val="18"/>
        </w:rPr>
        <w:t>5</w:t>
      </w:r>
      <w:r w:rsidRPr="002B7471">
        <w:rPr>
          <w:rFonts w:ascii="MinionPro-Regular" w:hAnsi="MinionPro-Regular"/>
          <w:sz w:val="18"/>
        </w:rPr>
        <w:t>(12), 853–861.</w:t>
      </w:r>
    </w:p>
    <w:p w14:paraId="72DDDD74" w14:textId="77777777" w:rsidR="002B7471" w:rsidRPr="002B7471" w:rsidRDefault="002B7471" w:rsidP="002B7471">
      <w:pPr>
        <w:pStyle w:val="Bibliography"/>
        <w:rPr>
          <w:rFonts w:ascii="MinionPro-Regular" w:hAnsi="MinionPro-Regular"/>
          <w:sz w:val="18"/>
        </w:rPr>
      </w:pPr>
      <w:r w:rsidRPr="002B7471">
        <w:rPr>
          <w:rFonts w:ascii="MinionPro-Regular" w:hAnsi="MinionPro-Regular"/>
          <w:sz w:val="18"/>
        </w:rPr>
        <w:t xml:space="preserve">Badiani, R., &amp; Jessoe, K. (2014). </w:t>
      </w:r>
      <w:r w:rsidRPr="002B7471">
        <w:rPr>
          <w:rFonts w:ascii="MinionPro-Regular" w:hAnsi="MinionPro-Regular"/>
          <w:i/>
          <w:iCs/>
          <w:sz w:val="18"/>
        </w:rPr>
        <w:t>The Impact of Electricity Subsidies on Groundwater Extraction and Agricultural Production</w:t>
      </w:r>
      <w:r w:rsidRPr="002B7471">
        <w:rPr>
          <w:rFonts w:ascii="MinionPro-Regular" w:hAnsi="MinionPro-Regular"/>
          <w:sz w:val="18"/>
        </w:rPr>
        <w:t>. 41.</w:t>
      </w:r>
    </w:p>
    <w:p w14:paraId="44859D2E" w14:textId="77777777" w:rsidR="002B7471" w:rsidRPr="002B7471" w:rsidRDefault="002B7471" w:rsidP="002B7471">
      <w:pPr>
        <w:pStyle w:val="Bibliography"/>
        <w:rPr>
          <w:rFonts w:ascii="MinionPro-Regular" w:hAnsi="MinionPro-Regular"/>
          <w:sz w:val="18"/>
        </w:rPr>
      </w:pPr>
      <w:r w:rsidRPr="002B7471">
        <w:rPr>
          <w:rFonts w:ascii="MinionPro-Regular" w:hAnsi="MinionPro-Regular"/>
          <w:sz w:val="18"/>
        </w:rPr>
        <w:t xml:space="preserve">Badiani, R., Jessoe, K. K., &amp; Plant, S. (2012). Development and the environment: The implications of agricultural electricity subsidies in India. </w:t>
      </w:r>
      <w:r w:rsidRPr="002B7471">
        <w:rPr>
          <w:rFonts w:ascii="MinionPro-Regular" w:hAnsi="MinionPro-Regular"/>
          <w:i/>
          <w:iCs/>
          <w:sz w:val="18"/>
        </w:rPr>
        <w:t>The Journal of Environment &amp; Development</w:t>
      </w:r>
      <w:r w:rsidRPr="002B7471">
        <w:rPr>
          <w:rFonts w:ascii="MinionPro-Regular" w:hAnsi="MinionPro-Regular"/>
          <w:sz w:val="18"/>
        </w:rPr>
        <w:t xml:space="preserve">, </w:t>
      </w:r>
      <w:r w:rsidRPr="002B7471">
        <w:rPr>
          <w:rFonts w:ascii="MinionPro-Regular" w:hAnsi="MinionPro-Regular"/>
          <w:i/>
          <w:iCs/>
          <w:sz w:val="18"/>
        </w:rPr>
        <w:t>21</w:t>
      </w:r>
      <w:r w:rsidRPr="002B7471">
        <w:rPr>
          <w:rFonts w:ascii="MinionPro-Regular" w:hAnsi="MinionPro-Regular"/>
          <w:sz w:val="18"/>
        </w:rPr>
        <w:t>(2), 244–262.</w:t>
      </w:r>
    </w:p>
    <w:p w14:paraId="54EBD93B" w14:textId="77777777" w:rsidR="002B7471" w:rsidRPr="002B7471" w:rsidRDefault="002B7471" w:rsidP="002B7471">
      <w:pPr>
        <w:pStyle w:val="Bibliography"/>
        <w:rPr>
          <w:rFonts w:ascii="MinionPro-Regular" w:hAnsi="MinionPro-Regular"/>
          <w:sz w:val="18"/>
        </w:rPr>
      </w:pPr>
      <w:r w:rsidRPr="002B7471">
        <w:rPr>
          <w:rFonts w:ascii="MinionPro-Regular" w:hAnsi="MinionPro-Regular"/>
          <w:sz w:val="18"/>
        </w:rPr>
        <w:t xml:space="preserve">Barik, B., Ghosh, S., Sahana, A. S., Pathak, A., &amp; Sekhar, M. (2017). Water–food–energy nexus with changing agricultural scenarios in India during recent decades. </w:t>
      </w:r>
      <w:r w:rsidRPr="002B7471">
        <w:rPr>
          <w:rFonts w:ascii="MinionPro-Regular" w:hAnsi="MinionPro-Regular"/>
          <w:i/>
          <w:iCs/>
          <w:sz w:val="18"/>
        </w:rPr>
        <w:t>Hydrology and Earth System Sciences</w:t>
      </w:r>
      <w:r w:rsidRPr="002B7471">
        <w:rPr>
          <w:rFonts w:ascii="MinionPro-Regular" w:hAnsi="MinionPro-Regular"/>
          <w:sz w:val="18"/>
        </w:rPr>
        <w:t xml:space="preserve">, </w:t>
      </w:r>
      <w:r w:rsidRPr="002B7471">
        <w:rPr>
          <w:rFonts w:ascii="MinionPro-Regular" w:hAnsi="MinionPro-Regular"/>
          <w:i/>
          <w:iCs/>
          <w:sz w:val="18"/>
        </w:rPr>
        <w:t>21</w:t>
      </w:r>
      <w:r w:rsidRPr="002B7471">
        <w:rPr>
          <w:rFonts w:ascii="MinionPro-Regular" w:hAnsi="MinionPro-Regular"/>
          <w:sz w:val="18"/>
        </w:rPr>
        <w:t>(6), 3041–3060.</w:t>
      </w:r>
    </w:p>
    <w:p w14:paraId="76F99F5F" w14:textId="77777777" w:rsidR="002B7471" w:rsidRPr="002B7471" w:rsidRDefault="002B7471" w:rsidP="002B7471">
      <w:pPr>
        <w:pStyle w:val="Bibliography"/>
        <w:rPr>
          <w:rFonts w:ascii="MinionPro-Regular" w:hAnsi="MinionPro-Regular"/>
          <w:sz w:val="18"/>
        </w:rPr>
      </w:pPr>
      <w:r w:rsidRPr="002B7471">
        <w:rPr>
          <w:rFonts w:ascii="MinionPro-Regular" w:hAnsi="MinionPro-Regular"/>
          <w:sz w:val="18"/>
        </w:rPr>
        <w:t xml:space="preserve">Bhanja, S. N., Mukherjee, A., Rodell, M., Wada, Y., Chattopadhyay, S., Velicogna, I., Pangaluru, K., &amp; Famiglietti, J. S. (2017). Groundwater rejuvenation in parts of India influenced by water-policy change implementation. </w:t>
      </w:r>
      <w:r w:rsidRPr="002B7471">
        <w:rPr>
          <w:rFonts w:ascii="MinionPro-Regular" w:hAnsi="MinionPro-Regular"/>
          <w:i/>
          <w:iCs/>
          <w:sz w:val="18"/>
        </w:rPr>
        <w:t>Scientific Reports</w:t>
      </w:r>
      <w:r w:rsidRPr="002B7471">
        <w:rPr>
          <w:rFonts w:ascii="MinionPro-Regular" w:hAnsi="MinionPro-Regular"/>
          <w:sz w:val="18"/>
        </w:rPr>
        <w:t xml:space="preserve">, </w:t>
      </w:r>
      <w:r w:rsidRPr="002B7471">
        <w:rPr>
          <w:rFonts w:ascii="MinionPro-Regular" w:hAnsi="MinionPro-Regular"/>
          <w:i/>
          <w:iCs/>
          <w:sz w:val="18"/>
        </w:rPr>
        <w:t>7</w:t>
      </w:r>
      <w:r w:rsidRPr="002B7471">
        <w:rPr>
          <w:rFonts w:ascii="MinionPro-Regular" w:hAnsi="MinionPro-Regular"/>
          <w:sz w:val="18"/>
        </w:rPr>
        <w:t>(1). https://doi.org/10.1038/s41598-017-07058-2</w:t>
      </w:r>
    </w:p>
    <w:p w14:paraId="6163F1C7" w14:textId="77777777" w:rsidR="002B7471" w:rsidRPr="002B7471" w:rsidRDefault="002B7471" w:rsidP="002B7471">
      <w:pPr>
        <w:pStyle w:val="Bibliography"/>
        <w:rPr>
          <w:rFonts w:ascii="MinionPro-Regular" w:hAnsi="MinionPro-Regular"/>
          <w:sz w:val="18"/>
        </w:rPr>
      </w:pPr>
      <w:r w:rsidRPr="002B7471">
        <w:rPr>
          <w:rFonts w:ascii="MinionPro-Regular" w:hAnsi="MinionPro-Regular"/>
          <w:sz w:val="18"/>
        </w:rPr>
        <w:t xml:space="preserve">Bondeau, A., Smith, P. C., Zaehle, S., Schaphoff, S., Lucht, W., Cramer, W., Gerten, D., Lotze-campen, H., Müller, C., Reichstein, M., &amp; Smith, B. (2007). Modelling the role of agriculture for the 20th century global terrestrial carbon balance. </w:t>
      </w:r>
      <w:r w:rsidRPr="002B7471">
        <w:rPr>
          <w:rFonts w:ascii="MinionPro-Regular" w:hAnsi="MinionPro-Regular"/>
          <w:i/>
          <w:iCs/>
          <w:sz w:val="18"/>
        </w:rPr>
        <w:t>Global Change Biology</w:t>
      </w:r>
      <w:r w:rsidRPr="002B7471">
        <w:rPr>
          <w:rFonts w:ascii="MinionPro-Regular" w:hAnsi="MinionPro-Regular"/>
          <w:sz w:val="18"/>
        </w:rPr>
        <w:t xml:space="preserve">, </w:t>
      </w:r>
      <w:r w:rsidRPr="002B7471">
        <w:rPr>
          <w:rFonts w:ascii="MinionPro-Regular" w:hAnsi="MinionPro-Regular"/>
          <w:i/>
          <w:iCs/>
          <w:sz w:val="18"/>
        </w:rPr>
        <w:t>13</w:t>
      </w:r>
      <w:r w:rsidRPr="002B7471">
        <w:rPr>
          <w:rFonts w:ascii="MinionPro-Regular" w:hAnsi="MinionPro-Regular"/>
          <w:sz w:val="18"/>
        </w:rPr>
        <w:t>(3), 679–706. https://doi.org/10.1111/j.1365-2486.2006.01305.x</w:t>
      </w:r>
    </w:p>
    <w:p w14:paraId="523F3948" w14:textId="77777777" w:rsidR="002B7471" w:rsidRPr="002B7471" w:rsidRDefault="002B7471" w:rsidP="002B7471">
      <w:pPr>
        <w:pStyle w:val="Bibliography"/>
        <w:rPr>
          <w:rFonts w:ascii="MinionPro-Regular" w:hAnsi="MinionPro-Regular"/>
          <w:sz w:val="18"/>
        </w:rPr>
      </w:pPr>
      <w:r w:rsidRPr="002B7471">
        <w:rPr>
          <w:rFonts w:ascii="MinionPro-Regular" w:hAnsi="MinionPro-Regular"/>
          <w:sz w:val="18"/>
        </w:rPr>
        <w:t xml:space="preserve">Briscoe, J., &amp; Malik, R. P. S. (2006). </w:t>
      </w:r>
      <w:r w:rsidRPr="002B7471">
        <w:rPr>
          <w:rFonts w:ascii="MinionPro-Regular" w:hAnsi="MinionPro-Regular"/>
          <w:i/>
          <w:iCs/>
          <w:sz w:val="18"/>
        </w:rPr>
        <w:t>India’s water economy: Bracing for a turbulent future</w:t>
      </w:r>
      <w:r w:rsidRPr="002B7471">
        <w:rPr>
          <w:rFonts w:ascii="MinionPro-Regular" w:hAnsi="MinionPro-Regular"/>
          <w:sz w:val="18"/>
        </w:rPr>
        <w:t>. New Delhi: Oxford University Press.</w:t>
      </w:r>
    </w:p>
    <w:p w14:paraId="5E855EC3" w14:textId="77777777" w:rsidR="002B7471" w:rsidRPr="002B7471" w:rsidRDefault="002B7471" w:rsidP="002B7471">
      <w:pPr>
        <w:pStyle w:val="Bibliography"/>
        <w:rPr>
          <w:rFonts w:ascii="MinionPro-Regular" w:hAnsi="MinionPro-Regular"/>
          <w:sz w:val="18"/>
        </w:rPr>
      </w:pPr>
      <w:r w:rsidRPr="002B7471">
        <w:rPr>
          <w:rFonts w:ascii="MinionPro-Regular" w:hAnsi="MinionPro-Regular"/>
          <w:sz w:val="18"/>
        </w:rPr>
        <w:t xml:space="preserve">Calzadilla, A., Rehdanz, K., &amp; Tol, R. S. (2011). </w:t>
      </w:r>
      <w:r w:rsidRPr="002B7471">
        <w:rPr>
          <w:rFonts w:ascii="MinionPro-Regular" w:hAnsi="MinionPro-Regular"/>
          <w:i/>
          <w:iCs/>
          <w:sz w:val="18"/>
        </w:rPr>
        <w:t>The GTAP-W model: Accounting for water use in agriculture</w:t>
      </w:r>
      <w:r w:rsidRPr="002B7471">
        <w:rPr>
          <w:rFonts w:ascii="MinionPro-Regular" w:hAnsi="MinionPro-Regular"/>
          <w:sz w:val="18"/>
        </w:rPr>
        <w:t>. Kiel Working Paper.</w:t>
      </w:r>
    </w:p>
    <w:p w14:paraId="3D91565A" w14:textId="77777777" w:rsidR="002B7471" w:rsidRPr="002B7471" w:rsidRDefault="002B7471" w:rsidP="002B7471">
      <w:pPr>
        <w:pStyle w:val="Bibliography"/>
        <w:rPr>
          <w:rFonts w:ascii="MinionPro-Regular" w:hAnsi="MinionPro-Regular"/>
          <w:sz w:val="18"/>
        </w:rPr>
      </w:pPr>
      <w:r w:rsidRPr="002B7471">
        <w:rPr>
          <w:rFonts w:ascii="MinionPro-Regular" w:hAnsi="MinionPro-Regular"/>
          <w:sz w:val="18"/>
        </w:rPr>
        <w:lastRenderedPageBreak/>
        <w:t xml:space="preserve">Central Ground Water Board. (2019). </w:t>
      </w:r>
      <w:r w:rsidRPr="002B7471">
        <w:rPr>
          <w:rFonts w:ascii="MinionPro-Regular" w:hAnsi="MinionPro-Regular"/>
          <w:i/>
          <w:iCs/>
          <w:sz w:val="18"/>
        </w:rPr>
        <w:t>National Compilation on Dynamic Ground Water Resources of India, 2017</w:t>
      </w:r>
      <w:r w:rsidRPr="002B7471">
        <w:rPr>
          <w:rFonts w:ascii="MinionPro-Regular" w:hAnsi="MinionPro-Regular"/>
          <w:sz w:val="18"/>
        </w:rPr>
        <w:t>. Ministry of Jal Shakti, Department of Water Resources, Government of India. http://cgwb.gov.in/GW-Assessment/GWRA-2017-National-Compilation.pdf</w:t>
      </w:r>
    </w:p>
    <w:p w14:paraId="0BAA89AC" w14:textId="77777777" w:rsidR="002B7471" w:rsidRPr="002B7471" w:rsidRDefault="002B7471" w:rsidP="002B7471">
      <w:pPr>
        <w:pStyle w:val="Bibliography"/>
        <w:rPr>
          <w:rFonts w:ascii="MinionPro-Regular" w:hAnsi="MinionPro-Regular"/>
          <w:sz w:val="18"/>
        </w:rPr>
      </w:pPr>
      <w:r w:rsidRPr="002B7471">
        <w:rPr>
          <w:rFonts w:ascii="MinionPro-Regular" w:hAnsi="MinionPro-Regular"/>
          <w:sz w:val="18"/>
        </w:rPr>
        <w:t xml:space="preserve">Commission for Agricultural Costs and Prices (CACP). (2020). </w:t>
      </w:r>
      <w:r w:rsidRPr="002B7471">
        <w:rPr>
          <w:rFonts w:ascii="MinionPro-Regular" w:hAnsi="MinionPro-Regular"/>
          <w:i/>
          <w:iCs/>
          <w:sz w:val="18"/>
        </w:rPr>
        <w:t>Price Policy for Commission for Agricultural Costs and Prices</w:t>
      </w:r>
      <w:r w:rsidRPr="002B7471">
        <w:rPr>
          <w:rFonts w:ascii="MinionPro-Regular" w:hAnsi="MinionPro-Regular"/>
          <w:sz w:val="18"/>
        </w:rPr>
        <w:t>. https://cacp.dacnet.nic.in/ViewQuestionare.aspx?Input=2&amp;DocId=1&amp;PageId=40&amp;KeyId=732</w:t>
      </w:r>
    </w:p>
    <w:p w14:paraId="28705032" w14:textId="77777777" w:rsidR="002B7471" w:rsidRPr="002B7471" w:rsidRDefault="002B7471" w:rsidP="002B7471">
      <w:pPr>
        <w:pStyle w:val="Bibliography"/>
        <w:rPr>
          <w:rFonts w:ascii="MinionPro-Regular" w:hAnsi="MinionPro-Regular"/>
          <w:sz w:val="18"/>
        </w:rPr>
      </w:pPr>
      <w:r w:rsidRPr="002B7471">
        <w:rPr>
          <w:rFonts w:ascii="MinionPro-Regular" w:hAnsi="MinionPro-Regular"/>
          <w:sz w:val="18"/>
        </w:rPr>
        <w:t xml:space="preserve">Cornish, G., Bosworth, B., Perry, C., &amp; Burke, J. J. (2004). </w:t>
      </w:r>
      <w:r w:rsidRPr="002B7471">
        <w:rPr>
          <w:rFonts w:ascii="MinionPro-Regular" w:hAnsi="MinionPro-Regular"/>
          <w:i/>
          <w:iCs/>
          <w:sz w:val="18"/>
        </w:rPr>
        <w:t>Water charging in irrigated agriculture: An analysis of international experience</w:t>
      </w:r>
      <w:r w:rsidRPr="002B7471">
        <w:rPr>
          <w:rFonts w:ascii="MinionPro-Regular" w:hAnsi="MinionPro-Regular"/>
          <w:sz w:val="18"/>
        </w:rPr>
        <w:t xml:space="preserve"> (Vol. 28). Food &amp; Agriculture Org.</w:t>
      </w:r>
    </w:p>
    <w:p w14:paraId="77C1574A" w14:textId="77777777" w:rsidR="002B7471" w:rsidRPr="002B7471" w:rsidRDefault="002B7471" w:rsidP="002B7471">
      <w:pPr>
        <w:pStyle w:val="Bibliography"/>
        <w:rPr>
          <w:rFonts w:ascii="MinionPro-Regular" w:hAnsi="MinionPro-Regular"/>
          <w:sz w:val="18"/>
        </w:rPr>
      </w:pPr>
      <w:r w:rsidRPr="002B7471">
        <w:rPr>
          <w:rFonts w:ascii="MinionPro-Regular" w:hAnsi="MinionPro-Regular"/>
          <w:sz w:val="18"/>
        </w:rPr>
        <w:t xml:space="preserve">Dalin, C., Wada, Y., Kastner, T., &amp; Puma, M. J. (2017). Groundwater depletion embedded in international food trade. </w:t>
      </w:r>
      <w:r w:rsidRPr="002B7471">
        <w:rPr>
          <w:rFonts w:ascii="MinionPro-Regular" w:hAnsi="MinionPro-Regular"/>
          <w:i/>
          <w:iCs/>
          <w:sz w:val="18"/>
        </w:rPr>
        <w:t>Nature</w:t>
      </w:r>
      <w:r w:rsidRPr="002B7471">
        <w:rPr>
          <w:rFonts w:ascii="MinionPro-Regular" w:hAnsi="MinionPro-Regular"/>
          <w:sz w:val="18"/>
        </w:rPr>
        <w:t xml:space="preserve">, </w:t>
      </w:r>
      <w:r w:rsidRPr="002B7471">
        <w:rPr>
          <w:rFonts w:ascii="MinionPro-Regular" w:hAnsi="MinionPro-Regular"/>
          <w:i/>
          <w:iCs/>
          <w:sz w:val="18"/>
        </w:rPr>
        <w:t>543</w:t>
      </w:r>
      <w:r w:rsidRPr="002B7471">
        <w:rPr>
          <w:rFonts w:ascii="MinionPro-Regular" w:hAnsi="MinionPro-Regular"/>
          <w:sz w:val="18"/>
        </w:rPr>
        <w:t>(7647), 700–704.</w:t>
      </w:r>
    </w:p>
    <w:p w14:paraId="4F3EBCE0" w14:textId="77777777" w:rsidR="002B7471" w:rsidRPr="002B7471" w:rsidRDefault="002B7471" w:rsidP="002B7471">
      <w:pPr>
        <w:pStyle w:val="Bibliography"/>
        <w:rPr>
          <w:rFonts w:ascii="MinionPro-Regular" w:hAnsi="MinionPro-Regular"/>
          <w:sz w:val="18"/>
        </w:rPr>
      </w:pPr>
      <w:r w:rsidRPr="002B7471">
        <w:rPr>
          <w:rFonts w:ascii="MinionPro-Regular" w:hAnsi="MinionPro-Regular"/>
          <w:sz w:val="18"/>
        </w:rPr>
        <w:t xml:space="preserve">Dietrich, J. P., Schmitz, C., Lotze-Campen, H., Popp, A., &amp; Müller, C. (2014). Forecasting technological change in agriculture-An endogenous implementation in a global land use model. </w:t>
      </w:r>
      <w:r w:rsidRPr="002B7471">
        <w:rPr>
          <w:rFonts w:ascii="MinionPro-Regular" w:hAnsi="MinionPro-Regular"/>
          <w:i/>
          <w:iCs/>
          <w:sz w:val="18"/>
        </w:rPr>
        <w:t>Technological Forecasting and Social Change</w:t>
      </w:r>
      <w:r w:rsidRPr="002B7471">
        <w:rPr>
          <w:rFonts w:ascii="MinionPro-Regular" w:hAnsi="MinionPro-Regular"/>
          <w:sz w:val="18"/>
        </w:rPr>
        <w:t xml:space="preserve">, </w:t>
      </w:r>
      <w:r w:rsidRPr="002B7471">
        <w:rPr>
          <w:rFonts w:ascii="MinionPro-Regular" w:hAnsi="MinionPro-Regular"/>
          <w:i/>
          <w:iCs/>
          <w:sz w:val="18"/>
        </w:rPr>
        <w:t>81</w:t>
      </w:r>
      <w:r w:rsidRPr="002B7471">
        <w:rPr>
          <w:rFonts w:ascii="MinionPro-Regular" w:hAnsi="MinionPro-Regular"/>
          <w:sz w:val="18"/>
        </w:rPr>
        <w:t>(1), 236–249. https://doi.org/10.1016/j.techfore.2013.02.003</w:t>
      </w:r>
    </w:p>
    <w:p w14:paraId="34E0B51E" w14:textId="77777777" w:rsidR="002B7471" w:rsidRPr="002B7471" w:rsidRDefault="002B7471" w:rsidP="002B7471">
      <w:pPr>
        <w:pStyle w:val="Bibliography"/>
        <w:rPr>
          <w:rFonts w:ascii="MinionPro-Regular" w:hAnsi="MinionPro-Regular"/>
          <w:sz w:val="18"/>
        </w:rPr>
      </w:pPr>
      <w:r w:rsidRPr="002B7471">
        <w:rPr>
          <w:rFonts w:ascii="MinionPro-Regular" w:hAnsi="MinionPro-Regular"/>
          <w:sz w:val="18"/>
        </w:rPr>
        <w:t xml:space="preserve">Dietrich, J. P., Schmitz, C., Müller, C., Fader, M., Lotze-Campen, H., &amp; Popp, A. (2012). Measuring agricultural land-use intensity—A global analysis using a model-assisted approach. </w:t>
      </w:r>
      <w:r w:rsidRPr="002B7471">
        <w:rPr>
          <w:rFonts w:ascii="MinionPro-Regular" w:hAnsi="MinionPro-Regular"/>
          <w:i/>
          <w:iCs/>
          <w:sz w:val="18"/>
        </w:rPr>
        <w:t>Ecological Modelling</w:t>
      </w:r>
      <w:r w:rsidRPr="002B7471">
        <w:rPr>
          <w:rFonts w:ascii="MinionPro-Regular" w:hAnsi="MinionPro-Regular"/>
          <w:sz w:val="18"/>
        </w:rPr>
        <w:t xml:space="preserve">, </w:t>
      </w:r>
      <w:r w:rsidRPr="002B7471">
        <w:rPr>
          <w:rFonts w:ascii="MinionPro-Regular" w:hAnsi="MinionPro-Regular"/>
          <w:i/>
          <w:iCs/>
          <w:sz w:val="18"/>
        </w:rPr>
        <w:t>232</w:t>
      </w:r>
      <w:r w:rsidRPr="002B7471">
        <w:rPr>
          <w:rFonts w:ascii="MinionPro-Regular" w:hAnsi="MinionPro-Regular"/>
          <w:sz w:val="18"/>
        </w:rPr>
        <w:t>, 109–118. https://doi.org/10.1016/j.ecolmodel.2012.03.002</w:t>
      </w:r>
    </w:p>
    <w:p w14:paraId="2B910E46" w14:textId="77777777" w:rsidR="002B7471" w:rsidRPr="002B7471" w:rsidRDefault="002B7471" w:rsidP="002B7471">
      <w:pPr>
        <w:pStyle w:val="Bibliography"/>
        <w:rPr>
          <w:rFonts w:ascii="MinionPro-Regular" w:hAnsi="MinionPro-Regular"/>
          <w:sz w:val="18"/>
        </w:rPr>
      </w:pPr>
      <w:r w:rsidRPr="002B7471">
        <w:rPr>
          <w:rFonts w:ascii="MinionPro-Regular" w:hAnsi="MinionPro-Regular"/>
          <w:sz w:val="18"/>
        </w:rPr>
        <w:t xml:space="preserve">Gómez‐Limón, J. A., &amp; Riesgo, L. (2004). Irrigation water pricing: Differential impacts on irrigated farms. </w:t>
      </w:r>
      <w:r w:rsidRPr="002B7471">
        <w:rPr>
          <w:rFonts w:ascii="MinionPro-Regular" w:hAnsi="MinionPro-Regular"/>
          <w:i/>
          <w:iCs/>
          <w:sz w:val="18"/>
        </w:rPr>
        <w:t>Agricultural Economics</w:t>
      </w:r>
      <w:r w:rsidRPr="002B7471">
        <w:rPr>
          <w:rFonts w:ascii="MinionPro-Regular" w:hAnsi="MinionPro-Regular"/>
          <w:sz w:val="18"/>
        </w:rPr>
        <w:t xml:space="preserve">, </w:t>
      </w:r>
      <w:r w:rsidRPr="002B7471">
        <w:rPr>
          <w:rFonts w:ascii="MinionPro-Regular" w:hAnsi="MinionPro-Regular"/>
          <w:i/>
          <w:iCs/>
          <w:sz w:val="18"/>
        </w:rPr>
        <w:t>31</w:t>
      </w:r>
      <w:r w:rsidRPr="002B7471">
        <w:rPr>
          <w:rFonts w:ascii="MinionPro-Regular" w:hAnsi="MinionPro-Regular"/>
          <w:sz w:val="18"/>
        </w:rPr>
        <w:t>(1), 47–66.</w:t>
      </w:r>
    </w:p>
    <w:p w14:paraId="76DD6D1E" w14:textId="77777777" w:rsidR="002B7471" w:rsidRPr="002B7471" w:rsidRDefault="002B7471" w:rsidP="002B7471">
      <w:pPr>
        <w:pStyle w:val="Bibliography"/>
        <w:rPr>
          <w:rFonts w:ascii="MinionPro-Regular" w:hAnsi="MinionPro-Regular"/>
          <w:sz w:val="18"/>
        </w:rPr>
      </w:pPr>
      <w:r w:rsidRPr="002B7471">
        <w:rPr>
          <w:rFonts w:ascii="MinionPro-Regular" w:hAnsi="MinionPro-Regular"/>
          <w:sz w:val="18"/>
        </w:rPr>
        <w:t xml:space="preserve">Han, H., &amp; Zhao, L. (2007). The impact of water pricing policy on local environment-an analysis of three irrigation districts in China. </w:t>
      </w:r>
      <w:r w:rsidRPr="002B7471">
        <w:rPr>
          <w:rFonts w:ascii="MinionPro-Regular" w:hAnsi="MinionPro-Regular"/>
          <w:i/>
          <w:iCs/>
          <w:sz w:val="18"/>
        </w:rPr>
        <w:t>Agricultural Sciences in China</w:t>
      </w:r>
      <w:r w:rsidRPr="002B7471">
        <w:rPr>
          <w:rFonts w:ascii="MinionPro-Regular" w:hAnsi="MinionPro-Regular"/>
          <w:sz w:val="18"/>
        </w:rPr>
        <w:t xml:space="preserve">, </w:t>
      </w:r>
      <w:r w:rsidRPr="002B7471">
        <w:rPr>
          <w:rFonts w:ascii="MinionPro-Regular" w:hAnsi="MinionPro-Regular"/>
          <w:i/>
          <w:iCs/>
          <w:sz w:val="18"/>
        </w:rPr>
        <w:t>6</w:t>
      </w:r>
      <w:r w:rsidRPr="002B7471">
        <w:rPr>
          <w:rFonts w:ascii="MinionPro-Regular" w:hAnsi="MinionPro-Regular"/>
          <w:sz w:val="18"/>
        </w:rPr>
        <w:t>(12), 1472–1478.</w:t>
      </w:r>
    </w:p>
    <w:p w14:paraId="27B00200" w14:textId="77777777" w:rsidR="002B7471" w:rsidRPr="002B7471" w:rsidRDefault="002B7471" w:rsidP="002B7471">
      <w:pPr>
        <w:pStyle w:val="Bibliography"/>
        <w:rPr>
          <w:rFonts w:ascii="MinionPro-Regular" w:hAnsi="MinionPro-Regular"/>
          <w:sz w:val="18"/>
        </w:rPr>
      </w:pPr>
      <w:r w:rsidRPr="002B7471">
        <w:rPr>
          <w:rFonts w:ascii="MinionPro-Regular" w:hAnsi="MinionPro-Regular"/>
          <w:sz w:val="18"/>
        </w:rPr>
        <w:t xml:space="preserve">Jain, M., Fishman, R., Mondal, P., Galford, G. L., Bhattarai, N., Naeem, S., Lall, U., Balwinder-Singh, &amp; DeFries, R. S. (2021). Groundwater depletion will reduce cropping intensity in India. </w:t>
      </w:r>
      <w:r w:rsidRPr="002B7471">
        <w:rPr>
          <w:rFonts w:ascii="MinionPro-Regular" w:hAnsi="MinionPro-Regular"/>
          <w:i/>
          <w:iCs/>
          <w:sz w:val="18"/>
        </w:rPr>
        <w:t>Science Advances</w:t>
      </w:r>
      <w:r w:rsidRPr="002B7471">
        <w:rPr>
          <w:rFonts w:ascii="MinionPro-Regular" w:hAnsi="MinionPro-Regular"/>
          <w:sz w:val="18"/>
        </w:rPr>
        <w:t xml:space="preserve">, </w:t>
      </w:r>
      <w:r w:rsidRPr="002B7471">
        <w:rPr>
          <w:rFonts w:ascii="MinionPro-Regular" w:hAnsi="MinionPro-Regular"/>
          <w:i/>
          <w:iCs/>
          <w:sz w:val="18"/>
        </w:rPr>
        <w:t>7</w:t>
      </w:r>
      <w:r w:rsidRPr="002B7471">
        <w:rPr>
          <w:rFonts w:ascii="MinionPro-Regular" w:hAnsi="MinionPro-Regular"/>
          <w:sz w:val="18"/>
        </w:rPr>
        <w:t>(9), eabd2849. https://doi.org/10.1126/sciadv.abd2849</w:t>
      </w:r>
    </w:p>
    <w:p w14:paraId="26497545" w14:textId="77777777" w:rsidR="002B7471" w:rsidRPr="002B7471" w:rsidRDefault="002B7471" w:rsidP="002B7471">
      <w:pPr>
        <w:pStyle w:val="Bibliography"/>
        <w:rPr>
          <w:rFonts w:ascii="MinionPro-Regular" w:hAnsi="MinionPro-Regular"/>
          <w:sz w:val="18"/>
        </w:rPr>
      </w:pPr>
      <w:r w:rsidRPr="002B7471">
        <w:rPr>
          <w:rFonts w:ascii="MinionPro-Regular" w:hAnsi="MinionPro-Regular"/>
          <w:sz w:val="18"/>
        </w:rPr>
        <w:t xml:space="preserve">Jain, M., Singh, B., Srivastava, A. A. K., Malik, R. K., McDonald, A. J., &amp; Lobell, D. B. (2017). Using satellite data to identify the causes of and potential solutions for yield gaps in India’s Wheat Belt. </w:t>
      </w:r>
      <w:r w:rsidRPr="002B7471">
        <w:rPr>
          <w:rFonts w:ascii="MinionPro-Regular" w:hAnsi="MinionPro-Regular"/>
          <w:i/>
          <w:iCs/>
          <w:sz w:val="18"/>
        </w:rPr>
        <w:t>Environmental Research Letters</w:t>
      </w:r>
      <w:r w:rsidRPr="002B7471">
        <w:rPr>
          <w:rFonts w:ascii="MinionPro-Regular" w:hAnsi="MinionPro-Regular"/>
          <w:sz w:val="18"/>
        </w:rPr>
        <w:t xml:space="preserve">, </w:t>
      </w:r>
      <w:r w:rsidRPr="002B7471">
        <w:rPr>
          <w:rFonts w:ascii="MinionPro-Regular" w:hAnsi="MinionPro-Regular"/>
          <w:i/>
          <w:iCs/>
          <w:sz w:val="18"/>
        </w:rPr>
        <w:t>12</w:t>
      </w:r>
      <w:r w:rsidRPr="002B7471">
        <w:rPr>
          <w:rFonts w:ascii="MinionPro-Regular" w:hAnsi="MinionPro-Regular"/>
          <w:sz w:val="18"/>
        </w:rPr>
        <w:t>(9), 094011–094011.</w:t>
      </w:r>
    </w:p>
    <w:p w14:paraId="6B24A58A" w14:textId="77777777" w:rsidR="002B7471" w:rsidRPr="002B7471" w:rsidRDefault="002B7471" w:rsidP="002B7471">
      <w:pPr>
        <w:pStyle w:val="Bibliography"/>
        <w:rPr>
          <w:rFonts w:ascii="MinionPro-Regular" w:hAnsi="MinionPro-Regular"/>
          <w:sz w:val="18"/>
        </w:rPr>
      </w:pPr>
      <w:r w:rsidRPr="002B7471">
        <w:rPr>
          <w:rFonts w:ascii="MinionPro-Regular" w:hAnsi="MinionPro-Regular"/>
          <w:sz w:val="18"/>
        </w:rPr>
        <w:t xml:space="preserve">Kayatz, B., Harris, F., Hillier, J., Adhya, T., Dalin, C., Nayak, D., Green, R. F., Smith, P., &amp; Dangour, A. D. (2019). “More crop per drop”: Exploring India’s cereal water use since 2005. </w:t>
      </w:r>
      <w:r w:rsidRPr="002B7471">
        <w:rPr>
          <w:rFonts w:ascii="MinionPro-Regular" w:hAnsi="MinionPro-Regular"/>
          <w:i/>
          <w:iCs/>
          <w:sz w:val="18"/>
        </w:rPr>
        <w:t>Science of the Total Environment</w:t>
      </w:r>
      <w:r w:rsidRPr="002B7471">
        <w:rPr>
          <w:rFonts w:ascii="MinionPro-Regular" w:hAnsi="MinionPro-Regular"/>
          <w:sz w:val="18"/>
        </w:rPr>
        <w:t xml:space="preserve">, </w:t>
      </w:r>
      <w:r w:rsidRPr="002B7471">
        <w:rPr>
          <w:rFonts w:ascii="MinionPro-Regular" w:hAnsi="MinionPro-Regular"/>
          <w:i/>
          <w:iCs/>
          <w:sz w:val="18"/>
        </w:rPr>
        <w:t>673</w:t>
      </w:r>
      <w:r w:rsidRPr="002B7471">
        <w:rPr>
          <w:rFonts w:ascii="MinionPro-Regular" w:hAnsi="MinionPro-Regular"/>
          <w:sz w:val="18"/>
        </w:rPr>
        <w:t>, 207–217.</w:t>
      </w:r>
    </w:p>
    <w:p w14:paraId="77EF984A" w14:textId="77777777" w:rsidR="002B7471" w:rsidRPr="002B7471" w:rsidRDefault="002B7471" w:rsidP="002B7471">
      <w:pPr>
        <w:pStyle w:val="Bibliography"/>
        <w:rPr>
          <w:rFonts w:ascii="MinionPro-Regular" w:hAnsi="MinionPro-Regular"/>
          <w:sz w:val="18"/>
        </w:rPr>
      </w:pPr>
      <w:r w:rsidRPr="002B7471">
        <w:rPr>
          <w:rFonts w:ascii="MinionPro-Regular" w:hAnsi="MinionPro-Regular"/>
          <w:sz w:val="18"/>
        </w:rPr>
        <w:t xml:space="preserve">Lotze-campen, H., Müller, C., Bondeau, A., Rost, S., Alexander, P., &amp; Lucht, W. (2008). Global food demand, productivity growth, and the scarcity of land and water resources: A spatially expliciti mathematical programming approach. </w:t>
      </w:r>
      <w:r w:rsidRPr="002B7471">
        <w:rPr>
          <w:rFonts w:ascii="MinionPro-Regular" w:hAnsi="MinionPro-Regular"/>
          <w:i/>
          <w:iCs/>
          <w:sz w:val="18"/>
        </w:rPr>
        <w:t>Agricultural Economics</w:t>
      </w:r>
      <w:r w:rsidRPr="002B7471">
        <w:rPr>
          <w:rFonts w:ascii="MinionPro-Regular" w:hAnsi="MinionPro-Regular"/>
          <w:sz w:val="18"/>
        </w:rPr>
        <w:t xml:space="preserve">, </w:t>
      </w:r>
      <w:r w:rsidRPr="002B7471">
        <w:rPr>
          <w:rFonts w:ascii="MinionPro-Regular" w:hAnsi="MinionPro-Regular"/>
          <w:i/>
          <w:iCs/>
          <w:sz w:val="18"/>
        </w:rPr>
        <w:t>39</w:t>
      </w:r>
      <w:r w:rsidRPr="002B7471">
        <w:rPr>
          <w:rFonts w:ascii="MinionPro-Regular" w:hAnsi="MinionPro-Regular"/>
          <w:sz w:val="18"/>
        </w:rPr>
        <w:t>(3), 325–338.</w:t>
      </w:r>
    </w:p>
    <w:p w14:paraId="3DB24425" w14:textId="77777777" w:rsidR="002B7471" w:rsidRPr="002B7471" w:rsidRDefault="002B7471" w:rsidP="002B7471">
      <w:pPr>
        <w:pStyle w:val="Bibliography"/>
        <w:rPr>
          <w:rFonts w:ascii="MinionPro-Regular" w:hAnsi="MinionPro-Regular"/>
          <w:sz w:val="18"/>
        </w:rPr>
      </w:pPr>
      <w:r w:rsidRPr="002B7471">
        <w:rPr>
          <w:rFonts w:ascii="MinionPro-Regular" w:hAnsi="MinionPro-Regular"/>
          <w:sz w:val="18"/>
        </w:rPr>
        <w:lastRenderedPageBreak/>
        <w:t xml:space="preserve">Meenakshi, J. V., Banerji, A., Mukherji, A., &amp; Gupta, A. (2012). </w:t>
      </w:r>
      <w:r w:rsidRPr="002B7471">
        <w:rPr>
          <w:rFonts w:ascii="MinionPro-Regular" w:hAnsi="MinionPro-Regular"/>
          <w:i/>
          <w:iCs/>
          <w:sz w:val="18"/>
        </w:rPr>
        <w:t>Does Marginal Cost Pricing of Electricity Affect Groundwater Pumping Behavior of Farmers?</w:t>
      </w:r>
      <w:r w:rsidRPr="002B7471">
        <w:rPr>
          <w:rFonts w:ascii="MinionPro-Regular" w:hAnsi="MinionPro-Regular"/>
          <w:sz w:val="18"/>
        </w:rPr>
        <w:t xml:space="preserve"> Paper submitted to 8th Annual Conference on Economic Growth and Development.</w:t>
      </w:r>
    </w:p>
    <w:p w14:paraId="7AED239E" w14:textId="77777777" w:rsidR="002B7471" w:rsidRPr="002B7471" w:rsidRDefault="002B7471" w:rsidP="002B7471">
      <w:pPr>
        <w:pStyle w:val="Bibliography"/>
        <w:rPr>
          <w:rFonts w:ascii="MinionPro-Regular" w:hAnsi="MinionPro-Regular"/>
          <w:sz w:val="18"/>
        </w:rPr>
      </w:pPr>
      <w:r w:rsidRPr="002B7471">
        <w:rPr>
          <w:rFonts w:ascii="MinionPro-Regular" w:hAnsi="MinionPro-Regular"/>
          <w:sz w:val="18"/>
        </w:rPr>
        <w:t xml:space="preserve">Molle, F., Venot, J.-P., &amp; Hassan, Y. (2008). Irrigation in the Jordan Valley: Are water pricing policies overly optimistic? </w:t>
      </w:r>
      <w:r w:rsidRPr="002B7471">
        <w:rPr>
          <w:rFonts w:ascii="MinionPro-Regular" w:hAnsi="MinionPro-Regular"/>
          <w:i/>
          <w:iCs/>
          <w:sz w:val="18"/>
        </w:rPr>
        <w:t>Agricultural Water Management</w:t>
      </w:r>
      <w:r w:rsidRPr="002B7471">
        <w:rPr>
          <w:rFonts w:ascii="MinionPro-Regular" w:hAnsi="MinionPro-Regular"/>
          <w:sz w:val="18"/>
        </w:rPr>
        <w:t xml:space="preserve">, </w:t>
      </w:r>
      <w:r w:rsidRPr="002B7471">
        <w:rPr>
          <w:rFonts w:ascii="MinionPro-Regular" w:hAnsi="MinionPro-Regular"/>
          <w:i/>
          <w:iCs/>
          <w:sz w:val="18"/>
        </w:rPr>
        <w:t>95</w:t>
      </w:r>
      <w:r w:rsidRPr="002B7471">
        <w:rPr>
          <w:rFonts w:ascii="MinionPro-Regular" w:hAnsi="MinionPro-Regular"/>
          <w:sz w:val="18"/>
        </w:rPr>
        <w:t>(4), 427–438.</w:t>
      </w:r>
    </w:p>
    <w:p w14:paraId="767C5EFA" w14:textId="77777777" w:rsidR="002B7471" w:rsidRPr="002B7471" w:rsidRDefault="002B7471" w:rsidP="002B7471">
      <w:pPr>
        <w:pStyle w:val="Bibliography"/>
        <w:rPr>
          <w:rFonts w:ascii="MinionPro-Regular" w:hAnsi="MinionPro-Regular"/>
          <w:sz w:val="18"/>
        </w:rPr>
      </w:pPr>
      <w:r w:rsidRPr="002B7471">
        <w:rPr>
          <w:rFonts w:ascii="MinionPro-Regular" w:hAnsi="MinionPro-Regular"/>
          <w:sz w:val="18"/>
        </w:rPr>
        <w:t xml:space="preserve">Mukherji, A. (2006). Political ecology of groundwater: The contrasting case of water-abundant West Bengal and water-scarce Gujarat, India. </w:t>
      </w:r>
      <w:r w:rsidRPr="002B7471">
        <w:rPr>
          <w:rFonts w:ascii="MinionPro-Regular" w:hAnsi="MinionPro-Regular"/>
          <w:i/>
          <w:iCs/>
          <w:sz w:val="18"/>
        </w:rPr>
        <w:t>Hydrogeology Journal</w:t>
      </w:r>
      <w:r w:rsidRPr="002B7471">
        <w:rPr>
          <w:rFonts w:ascii="MinionPro-Regular" w:hAnsi="MinionPro-Regular"/>
          <w:sz w:val="18"/>
        </w:rPr>
        <w:t xml:space="preserve">, </w:t>
      </w:r>
      <w:r w:rsidRPr="002B7471">
        <w:rPr>
          <w:rFonts w:ascii="MinionPro-Regular" w:hAnsi="MinionPro-Regular"/>
          <w:i/>
          <w:iCs/>
          <w:sz w:val="18"/>
        </w:rPr>
        <w:t>14</w:t>
      </w:r>
      <w:r w:rsidRPr="002B7471">
        <w:rPr>
          <w:rFonts w:ascii="MinionPro-Regular" w:hAnsi="MinionPro-Regular"/>
          <w:sz w:val="18"/>
        </w:rPr>
        <w:t>(3), 392–406.</w:t>
      </w:r>
    </w:p>
    <w:p w14:paraId="1C54A352" w14:textId="77777777" w:rsidR="002B7471" w:rsidRPr="002B7471" w:rsidRDefault="002B7471" w:rsidP="002B7471">
      <w:pPr>
        <w:pStyle w:val="Bibliography"/>
        <w:rPr>
          <w:rFonts w:ascii="MinionPro-Regular" w:hAnsi="MinionPro-Regular"/>
          <w:sz w:val="18"/>
        </w:rPr>
      </w:pPr>
      <w:r w:rsidRPr="002B7471">
        <w:rPr>
          <w:rFonts w:ascii="MinionPro-Regular" w:hAnsi="MinionPro-Regular"/>
          <w:sz w:val="18"/>
        </w:rPr>
        <w:t xml:space="preserve">Narayanan G., B., &amp; L. Walmsley, T. (2008). </w:t>
      </w:r>
      <w:r w:rsidRPr="002B7471">
        <w:rPr>
          <w:rFonts w:ascii="MinionPro-Regular" w:hAnsi="MinionPro-Regular"/>
          <w:i/>
          <w:iCs/>
          <w:sz w:val="18"/>
        </w:rPr>
        <w:t>Global Trade, Assistance, and Production: The GTAP 7 Data Base</w:t>
      </w:r>
      <w:r w:rsidRPr="002B7471">
        <w:rPr>
          <w:rFonts w:ascii="MinionPro-Regular" w:hAnsi="MinionPro-Regular"/>
          <w:sz w:val="18"/>
        </w:rPr>
        <w:t>. Center for Global Trade Analysis, Purdue University. http://www.gtap.agecon.purdue.edu/databases/v7/v7_doco.asp</w:t>
      </w:r>
    </w:p>
    <w:p w14:paraId="760A360F" w14:textId="77777777" w:rsidR="002B7471" w:rsidRPr="002B7471" w:rsidRDefault="002B7471" w:rsidP="002B7471">
      <w:pPr>
        <w:pStyle w:val="Bibliography"/>
        <w:rPr>
          <w:rFonts w:ascii="MinionPro-Regular" w:hAnsi="MinionPro-Regular"/>
          <w:sz w:val="18"/>
        </w:rPr>
      </w:pPr>
      <w:r w:rsidRPr="002B7471">
        <w:rPr>
          <w:rFonts w:ascii="MinionPro-Regular" w:hAnsi="MinionPro-Regular"/>
          <w:sz w:val="18"/>
        </w:rPr>
        <w:t xml:space="preserve">Qdais, H. A., &amp; Al Nassay, H. (2001). Effect of pricing policy on water conservation: A case study. </w:t>
      </w:r>
      <w:r w:rsidRPr="002B7471">
        <w:rPr>
          <w:rFonts w:ascii="MinionPro-Regular" w:hAnsi="MinionPro-Regular"/>
          <w:i/>
          <w:iCs/>
          <w:sz w:val="18"/>
        </w:rPr>
        <w:t>Water Policy</w:t>
      </w:r>
      <w:r w:rsidRPr="002B7471">
        <w:rPr>
          <w:rFonts w:ascii="MinionPro-Regular" w:hAnsi="MinionPro-Regular"/>
          <w:sz w:val="18"/>
        </w:rPr>
        <w:t xml:space="preserve">, </w:t>
      </w:r>
      <w:r w:rsidRPr="002B7471">
        <w:rPr>
          <w:rFonts w:ascii="MinionPro-Regular" w:hAnsi="MinionPro-Regular"/>
          <w:i/>
          <w:iCs/>
          <w:sz w:val="18"/>
        </w:rPr>
        <w:t>3</w:t>
      </w:r>
      <w:r w:rsidRPr="002B7471">
        <w:rPr>
          <w:rFonts w:ascii="MinionPro-Regular" w:hAnsi="MinionPro-Regular"/>
          <w:sz w:val="18"/>
        </w:rPr>
        <w:t>(3), 207–214.</w:t>
      </w:r>
    </w:p>
    <w:p w14:paraId="00C8E346" w14:textId="77777777" w:rsidR="002B7471" w:rsidRPr="002B7471" w:rsidRDefault="002B7471" w:rsidP="002B7471">
      <w:pPr>
        <w:pStyle w:val="Bibliography"/>
        <w:rPr>
          <w:rFonts w:ascii="MinionPro-Regular" w:hAnsi="MinionPro-Regular"/>
          <w:sz w:val="18"/>
        </w:rPr>
      </w:pPr>
      <w:r w:rsidRPr="002B7471">
        <w:rPr>
          <w:rFonts w:ascii="MinionPro-Regular" w:hAnsi="MinionPro-Regular"/>
          <w:sz w:val="18"/>
        </w:rPr>
        <w:t xml:space="preserve">Ramaswami, B. (2019). </w:t>
      </w:r>
      <w:r w:rsidRPr="002B7471">
        <w:rPr>
          <w:rFonts w:ascii="MinionPro-Regular" w:hAnsi="MinionPro-Regular"/>
          <w:i/>
          <w:iCs/>
          <w:sz w:val="18"/>
        </w:rPr>
        <w:t>Agricultural subsidies: Study Prepared for XV Finance Commission</w:t>
      </w:r>
      <w:r w:rsidRPr="002B7471">
        <w:rPr>
          <w:rFonts w:ascii="MinionPro-Regular" w:hAnsi="MinionPro-Regular"/>
          <w:sz w:val="18"/>
        </w:rPr>
        <w:t>.</w:t>
      </w:r>
    </w:p>
    <w:p w14:paraId="35C3B7CB" w14:textId="77777777" w:rsidR="002B7471" w:rsidRPr="002B7471" w:rsidRDefault="002B7471" w:rsidP="002B7471">
      <w:pPr>
        <w:pStyle w:val="Bibliography"/>
        <w:rPr>
          <w:rFonts w:ascii="MinionPro-Regular" w:hAnsi="MinionPro-Regular"/>
          <w:sz w:val="18"/>
        </w:rPr>
      </w:pPr>
      <w:r w:rsidRPr="002B7471">
        <w:rPr>
          <w:rFonts w:ascii="MinionPro-Regular" w:hAnsi="MinionPro-Regular"/>
          <w:sz w:val="18"/>
        </w:rPr>
        <w:t xml:space="preserve">Ray, L. I. P., Mal, B., &amp; Panigrahi, P. (2020). </w:t>
      </w:r>
      <w:r w:rsidRPr="002B7471">
        <w:rPr>
          <w:rFonts w:ascii="MinionPro-Regular" w:hAnsi="MinionPro-Regular"/>
          <w:i/>
          <w:iCs/>
          <w:sz w:val="18"/>
        </w:rPr>
        <w:t>Estimation of cost of pumping from a mini tubewell for agricultural usage</w:t>
      </w:r>
      <w:r w:rsidRPr="002B7471">
        <w:rPr>
          <w:rFonts w:ascii="MinionPro-Regular" w:hAnsi="MinionPro-Regular"/>
          <w:sz w:val="18"/>
        </w:rPr>
        <w:t xml:space="preserve">. </w:t>
      </w:r>
      <w:r w:rsidRPr="002B7471">
        <w:rPr>
          <w:rFonts w:ascii="MinionPro-Regular" w:hAnsi="MinionPro-Regular"/>
          <w:i/>
          <w:iCs/>
          <w:sz w:val="18"/>
        </w:rPr>
        <w:t>18</w:t>
      </w:r>
      <w:r w:rsidRPr="002B7471">
        <w:rPr>
          <w:rFonts w:ascii="MinionPro-Regular" w:hAnsi="MinionPro-Regular"/>
          <w:sz w:val="18"/>
        </w:rPr>
        <w:t>, 181–185.</w:t>
      </w:r>
    </w:p>
    <w:p w14:paraId="306EA58A" w14:textId="77777777" w:rsidR="002B7471" w:rsidRPr="002B7471" w:rsidRDefault="002B7471" w:rsidP="002B7471">
      <w:pPr>
        <w:pStyle w:val="Bibliography"/>
        <w:rPr>
          <w:rFonts w:ascii="MinionPro-Regular" w:hAnsi="MinionPro-Regular"/>
          <w:sz w:val="18"/>
        </w:rPr>
      </w:pPr>
      <w:r w:rsidRPr="002B7471">
        <w:rPr>
          <w:rFonts w:ascii="MinionPro-Regular" w:hAnsi="MinionPro-Regular"/>
          <w:sz w:val="18"/>
        </w:rPr>
        <w:t xml:space="preserve">Rodell, M., Velicogna, I., &amp; Famiglietti, J. S. (2009). Satellite-based estimates of groundwater depletion in India. </w:t>
      </w:r>
      <w:r w:rsidRPr="002B7471">
        <w:rPr>
          <w:rFonts w:ascii="MinionPro-Regular" w:hAnsi="MinionPro-Regular"/>
          <w:i/>
          <w:iCs/>
          <w:sz w:val="18"/>
        </w:rPr>
        <w:t>Nature</w:t>
      </w:r>
      <w:r w:rsidRPr="002B7471">
        <w:rPr>
          <w:rFonts w:ascii="MinionPro-Regular" w:hAnsi="MinionPro-Regular"/>
          <w:sz w:val="18"/>
        </w:rPr>
        <w:t xml:space="preserve">, </w:t>
      </w:r>
      <w:r w:rsidRPr="002B7471">
        <w:rPr>
          <w:rFonts w:ascii="MinionPro-Regular" w:hAnsi="MinionPro-Regular"/>
          <w:i/>
          <w:iCs/>
          <w:sz w:val="18"/>
        </w:rPr>
        <w:t>460</w:t>
      </w:r>
      <w:r w:rsidRPr="002B7471">
        <w:rPr>
          <w:rFonts w:ascii="MinionPro-Regular" w:hAnsi="MinionPro-Regular"/>
          <w:sz w:val="18"/>
        </w:rPr>
        <w:t>(7258), 999–1002. https://doi.org/10.1038/nature08238</w:t>
      </w:r>
    </w:p>
    <w:p w14:paraId="1FD16651" w14:textId="77777777" w:rsidR="002B7471" w:rsidRPr="002B7471" w:rsidRDefault="002B7471" w:rsidP="002B7471">
      <w:pPr>
        <w:pStyle w:val="Bibliography"/>
        <w:rPr>
          <w:rFonts w:ascii="MinionPro-Regular" w:hAnsi="MinionPro-Regular"/>
          <w:sz w:val="18"/>
        </w:rPr>
      </w:pPr>
      <w:r w:rsidRPr="002B7471">
        <w:rPr>
          <w:rFonts w:ascii="MinionPro-Regular" w:hAnsi="MinionPro-Regular"/>
          <w:sz w:val="18"/>
        </w:rPr>
        <w:t xml:space="preserve">Rosegrant, M. W., Ringler, C., &amp; Zhu, T. (2009). Water for Agriculture: Maintaining Food Security under Growing Scarcity. </w:t>
      </w:r>
      <w:r w:rsidRPr="002B7471">
        <w:rPr>
          <w:rFonts w:ascii="MinionPro-Regular" w:hAnsi="MinionPro-Regular"/>
          <w:i/>
          <w:iCs/>
          <w:sz w:val="18"/>
        </w:rPr>
        <w:t>Annual Review of Environment and Resources</w:t>
      </w:r>
      <w:r w:rsidRPr="002B7471">
        <w:rPr>
          <w:rFonts w:ascii="MinionPro-Regular" w:hAnsi="MinionPro-Regular"/>
          <w:sz w:val="18"/>
        </w:rPr>
        <w:t xml:space="preserve">, </w:t>
      </w:r>
      <w:r w:rsidRPr="002B7471">
        <w:rPr>
          <w:rFonts w:ascii="MinionPro-Regular" w:hAnsi="MinionPro-Regular"/>
          <w:i/>
          <w:iCs/>
          <w:sz w:val="18"/>
        </w:rPr>
        <w:t>34</w:t>
      </w:r>
      <w:r w:rsidRPr="002B7471">
        <w:rPr>
          <w:rFonts w:ascii="MinionPro-Regular" w:hAnsi="MinionPro-Regular"/>
          <w:sz w:val="18"/>
        </w:rPr>
        <w:t>(1), 205–222. https://doi.org/10.1146/annurev.environ.030308.090351</w:t>
      </w:r>
    </w:p>
    <w:p w14:paraId="3F4EFA55" w14:textId="77777777" w:rsidR="002B7471" w:rsidRPr="002B7471" w:rsidRDefault="002B7471" w:rsidP="002B7471">
      <w:pPr>
        <w:pStyle w:val="Bibliography"/>
        <w:rPr>
          <w:rFonts w:ascii="MinionPro-Regular" w:hAnsi="MinionPro-Regular"/>
          <w:sz w:val="18"/>
        </w:rPr>
      </w:pPr>
      <w:r w:rsidRPr="002B7471">
        <w:rPr>
          <w:rFonts w:ascii="MinionPro-Regular" w:hAnsi="MinionPro-Regular"/>
          <w:sz w:val="18"/>
        </w:rPr>
        <w:t xml:space="preserve">Scott, C. A., &amp; Shah, T. (2004). Groundwater overdraft reduction through agricultural energy policy: Insights from India and Mexico. </w:t>
      </w:r>
      <w:r w:rsidRPr="002B7471">
        <w:rPr>
          <w:rFonts w:ascii="MinionPro-Regular" w:hAnsi="MinionPro-Regular"/>
          <w:i/>
          <w:iCs/>
          <w:sz w:val="18"/>
        </w:rPr>
        <w:t>International Journal of Water Resources Development</w:t>
      </w:r>
      <w:r w:rsidRPr="002B7471">
        <w:rPr>
          <w:rFonts w:ascii="MinionPro-Regular" w:hAnsi="MinionPro-Regular"/>
          <w:sz w:val="18"/>
        </w:rPr>
        <w:t xml:space="preserve">, </w:t>
      </w:r>
      <w:r w:rsidRPr="002B7471">
        <w:rPr>
          <w:rFonts w:ascii="MinionPro-Regular" w:hAnsi="MinionPro-Regular"/>
          <w:i/>
          <w:iCs/>
          <w:sz w:val="18"/>
        </w:rPr>
        <w:t>20</w:t>
      </w:r>
      <w:r w:rsidRPr="002B7471">
        <w:rPr>
          <w:rFonts w:ascii="MinionPro-Regular" w:hAnsi="MinionPro-Regular"/>
          <w:sz w:val="18"/>
        </w:rPr>
        <w:t>(2), 149–164.</w:t>
      </w:r>
    </w:p>
    <w:p w14:paraId="53E65E9A" w14:textId="77777777" w:rsidR="002B7471" w:rsidRPr="002B7471" w:rsidRDefault="002B7471" w:rsidP="002B7471">
      <w:pPr>
        <w:pStyle w:val="Bibliography"/>
        <w:rPr>
          <w:rFonts w:ascii="MinionPro-Regular" w:hAnsi="MinionPro-Regular"/>
          <w:sz w:val="18"/>
        </w:rPr>
      </w:pPr>
      <w:r w:rsidRPr="002B7471">
        <w:rPr>
          <w:rFonts w:ascii="MinionPro-Regular" w:hAnsi="MinionPro-Regular"/>
          <w:sz w:val="18"/>
        </w:rPr>
        <w:t xml:space="preserve">Singh, K. (2012). Electricity subsidy in Punjab agriculture: Extent and impact. </w:t>
      </w:r>
      <w:r w:rsidRPr="002B7471">
        <w:rPr>
          <w:rFonts w:ascii="MinionPro-Regular" w:hAnsi="MinionPro-Regular"/>
          <w:i/>
          <w:iCs/>
          <w:sz w:val="18"/>
        </w:rPr>
        <w:t>Indian Journal of Agricultural Economics</w:t>
      </w:r>
      <w:r w:rsidRPr="002B7471">
        <w:rPr>
          <w:rFonts w:ascii="MinionPro-Regular" w:hAnsi="MinionPro-Regular"/>
          <w:sz w:val="18"/>
        </w:rPr>
        <w:t xml:space="preserve">, </w:t>
      </w:r>
      <w:r w:rsidRPr="002B7471">
        <w:rPr>
          <w:rFonts w:ascii="MinionPro-Regular" w:hAnsi="MinionPro-Regular"/>
          <w:i/>
          <w:iCs/>
          <w:sz w:val="18"/>
        </w:rPr>
        <w:t>67</w:t>
      </w:r>
      <w:r w:rsidRPr="002B7471">
        <w:rPr>
          <w:rFonts w:ascii="MinionPro-Regular" w:hAnsi="MinionPro-Regular"/>
          <w:sz w:val="18"/>
        </w:rPr>
        <w:t>(902-2016–66726).</w:t>
      </w:r>
    </w:p>
    <w:p w14:paraId="47C81DF9" w14:textId="77777777" w:rsidR="002B7471" w:rsidRPr="002B7471" w:rsidRDefault="002B7471" w:rsidP="002B7471">
      <w:pPr>
        <w:pStyle w:val="Bibliography"/>
        <w:rPr>
          <w:rFonts w:ascii="MinionPro-Regular" w:hAnsi="MinionPro-Regular"/>
          <w:sz w:val="18"/>
        </w:rPr>
      </w:pPr>
      <w:r w:rsidRPr="002B7471">
        <w:rPr>
          <w:rFonts w:ascii="MinionPro-Regular" w:hAnsi="MinionPro-Regular"/>
          <w:sz w:val="18"/>
        </w:rPr>
        <w:t xml:space="preserve">Tiwari, V., Wahr, J., &amp; Swenson, S. (2009). Dwindling groundwater resources in northern India, from satellite gravity observations. </w:t>
      </w:r>
      <w:r w:rsidRPr="002B7471">
        <w:rPr>
          <w:rFonts w:ascii="MinionPro-Regular" w:hAnsi="MinionPro-Regular"/>
          <w:i/>
          <w:iCs/>
          <w:sz w:val="18"/>
        </w:rPr>
        <w:t>Geophysical Research Letters</w:t>
      </w:r>
      <w:r w:rsidRPr="002B7471">
        <w:rPr>
          <w:rFonts w:ascii="MinionPro-Regular" w:hAnsi="MinionPro-Regular"/>
          <w:sz w:val="18"/>
        </w:rPr>
        <w:t xml:space="preserve">, </w:t>
      </w:r>
      <w:r w:rsidRPr="002B7471">
        <w:rPr>
          <w:rFonts w:ascii="MinionPro-Regular" w:hAnsi="MinionPro-Regular"/>
          <w:i/>
          <w:iCs/>
          <w:sz w:val="18"/>
        </w:rPr>
        <w:t>36</w:t>
      </w:r>
      <w:r w:rsidRPr="002B7471">
        <w:rPr>
          <w:rFonts w:ascii="MinionPro-Regular" w:hAnsi="MinionPro-Regular"/>
          <w:sz w:val="18"/>
        </w:rPr>
        <w:t>(18).</w:t>
      </w:r>
    </w:p>
    <w:p w14:paraId="6332C61A" w14:textId="77777777" w:rsidR="002B7471" w:rsidRPr="002B7471" w:rsidRDefault="002B7471" w:rsidP="002B7471">
      <w:pPr>
        <w:pStyle w:val="Bibliography"/>
        <w:rPr>
          <w:rFonts w:ascii="MinionPro-Regular" w:hAnsi="MinionPro-Regular"/>
          <w:sz w:val="18"/>
        </w:rPr>
      </w:pPr>
      <w:r w:rsidRPr="002B7471">
        <w:rPr>
          <w:rFonts w:ascii="MinionPro-Regular" w:hAnsi="MinionPro-Regular"/>
          <w:sz w:val="18"/>
        </w:rPr>
        <w:t xml:space="preserve">Yi, S., Wang, Q., &amp; Sun, W. (2016). Basin mass dynamic changes in China from GRACE based on a multibasin inversion method. </w:t>
      </w:r>
      <w:r w:rsidRPr="002B7471">
        <w:rPr>
          <w:rFonts w:ascii="MinionPro-Regular" w:hAnsi="MinionPro-Regular"/>
          <w:i/>
          <w:iCs/>
          <w:sz w:val="18"/>
        </w:rPr>
        <w:t>Journal of Geophysical Research: Solid Earth</w:t>
      </w:r>
      <w:r w:rsidRPr="002B7471">
        <w:rPr>
          <w:rFonts w:ascii="MinionPro-Regular" w:hAnsi="MinionPro-Regular"/>
          <w:sz w:val="18"/>
        </w:rPr>
        <w:t xml:space="preserve">, </w:t>
      </w:r>
      <w:r w:rsidRPr="002B7471">
        <w:rPr>
          <w:rFonts w:ascii="MinionPro-Regular" w:hAnsi="MinionPro-Regular"/>
          <w:i/>
          <w:iCs/>
          <w:sz w:val="18"/>
        </w:rPr>
        <w:t>121</w:t>
      </w:r>
      <w:r w:rsidRPr="002B7471">
        <w:rPr>
          <w:rFonts w:ascii="MinionPro-Regular" w:hAnsi="MinionPro-Regular"/>
          <w:sz w:val="18"/>
        </w:rPr>
        <w:t>(5), 3782–3803.</w:t>
      </w:r>
    </w:p>
    <w:p w14:paraId="2DE6BBD2" w14:textId="77777777" w:rsidR="002B7471" w:rsidRPr="002B7471" w:rsidRDefault="002B7471" w:rsidP="002B7471">
      <w:pPr>
        <w:pStyle w:val="Bibliography"/>
        <w:rPr>
          <w:rFonts w:ascii="MinionPro-Regular" w:hAnsi="MinionPro-Regular"/>
          <w:sz w:val="18"/>
        </w:rPr>
      </w:pPr>
      <w:r w:rsidRPr="002B7471">
        <w:rPr>
          <w:rFonts w:ascii="MinionPro-Regular" w:hAnsi="MinionPro-Regular"/>
          <w:sz w:val="18"/>
        </w:rPr>
        <w:t xml:space="preserve">Zaisheng, H., Hao, W., &amp; Rui, C. (2006). Transboundary Aquifers in Asia with Special Emphasis to China. </w:t>
      </w:r>
      <w:r w:rsidRPr="002B7471">
        <w:rPr>
          <w:rFonts w:ascii="MinionPro-Regular" w:hAnsi="MinionPro-Regular"/>
          <w:i/>
          <w:iCs/>
          <w:sz w:val="18"/>
        </w:rPr>
        <w:t>United National Educational, Scientific, and Cultural Organization</w:t>
      </w:r>
      <w:r w:rsidRPr="002B7471">
        <w:rPr>
          <w:rFonts w:ascii="MinionPro-Regular" w:hAnsi="MinionPro-Regular"/>
          <w:sz w:val="18"/>
        </w:rPr>
        <w:t>, 10–18.</w:t>
      </w:r>
    </w:p>
    <w:p w14:paraId="37857AAF" w14:textId="0B4F96F6" w:rsidR="00463562" w:rsidRDefault="002B7471" w:rsidP="00463562">
      <w:pPr>
        <w:tabs>
          <w:tab w:val="num" w:pos="720"/>
        </w:tabs>
        <w:autoSpaceDE w:val="0"/>
        <w:autoSpaceDN w:val="0"/>
        <w:adjustRightInd w:val="0"/>
        <w:spacing w:after="0" w:line="240" w:lineRule="auto"/>
        <w:rPr>
          <w:rFonts w:ascii="MinionPro-Regular" w:hAnsi="MinionPro-Regular" w:cs="MinionPro-Regular"/>
          <w:sz w:val="18"/>
          <w:szCs w:val="18"/>
        </w:rPr>
      </w:pPr>
      <w:r>
        <w:rPr>
          <w:rFonts w:ascii="MinionPro-Regular" w:hAnsi="MinionPro-Regular" w:cs="MinionPro-Regular"/>
          <w:sz w:val="18"/>
          <w:szCs w:val="18"/>
        </w:rPr>
        <w:fldChar w:fldCharType="end"/>
      </w:r>
    </w:p>
    <w:p w14:paraId="075F0ABA" w14:textId="642B2D40" w:rsidR="002B7471" w:rsidRDefault="002B7471" w:rsidP="00463562">
      <w:pPr>
        <w:tabs>
          <w:tab w:val="num" w:pos="720"/>
        </w:tabs>
        <w:autoSpaceDE w:val="0"/>
        <w:autoSpaceDN w:val="0"/>
        <w:adjustRightInd w:val="0"/>
        <w:spacing w:after="0" w:line="240" w:lineRule="auto"/>
        <w:rPr>
          <w:rFonts w:ascii="MinionPro-Regular" w:hAnsi="MinionPro-Regular" w:cs="MinionPro-Regular"/>
          <w:sz w:val="18"/>
          <w:szCs w:val="18"/>
        </w:rPr>
      </w:pPr>
    </w:p>
    <w:p w14:paraId="6773EC7B" w14:textId="65440AAA" w:rsidR="002B7471" w:rsidRDefault="002B7471" w:rsidP="00463562">
      <w:pPr>
        <w:tabs>
          <w:tab w:val="num" w:pos="720"/>
        </w:tabs>
        <w:autoSpaceDE w:val="0"/>
        <w:autoSpaceDN w:val="0"/>
        <w:adjustRightInd w:val="0"/>
        <w:spacing w:after="0" w:line="240" w:lineRule="auto"/>
        <w:rPr>
          <w:rFonts w:ascii="MinionPro-Regular" w:hAnsi="MinionPro-Regular" w:cs="MinionPro-Regular"/>
          <w:sz w:val="18"/>
          <w:szCs w:val="18"/>
        </w:rPr>
      </w:pPr>
    </w:p>
    <w:p w14:paraId="7E5A0FBE" w14:textId="601AF31E" w:rsidR="002B7471" w:rsidRDefault="002B7471" w:rsidP="00463562">
      <w:pPr>
        <w:tabs>
          <w:tab w:val="num" w:pos="720"/>
        </w:tabs>
        <w:autoSpaceDE w:val="0"/>
        <w:autoSpaceDN w:val="0"/>
        <w:adjustRightInd w:val="0"/>
        <w:spacing w:after="0" w:line="240" w:lineRule="auto"/>
        <w:rPr>
          <w:rFonts w:ascii="MinionPro-Regular" w:hAnsi="MinionPro-Regular" w:cs="MinionPro-Regular"/>
          <w:sz w:val="18"/>
          <w:szCs w:val="18"/>
        </w:rPr>
      </w:pPr>
    </w:p>
    <w:p w14:paraId="04EDB2EC" w14:textId="2DF5C63A" w:rsidR="002B7471" w:rsidRDefault="002B7471" w:rsidP="00463562">
      <w:pPr>
        <w:tabs>
          <w:tab w:val="num" w:pos="720"/>
        </w:tabs>
        <w:autoSpaceDE w:val="0"/>
        <w:autoSpaceDN w:val="0"/>
        <w:adjustRightInd w:val="0"/>
        <w:spacing w:after="0" w:line="240" w:lineRule="auto"/>
        <w:rPr>
          <w:rFonts w:ascii="MinionPro-Regular" w:hAnsi="MinionPro-Regular" w:cs="MinionPro-Regular"/>
          <w:sz w:val="18"/>
          <w:szCs w:val="18"/>
        </w:rPr>
      </w:pPr>
    </w:p>
    <w:p w14:paraId="48C26547" w14:textId="64B43633" w:rsidR="002B7471" w:rsidRDefault="002B7471" w:rsidP="00463562">
      <w:pPr>
        <w:tabs>
          <w:tab w:val="num" w:pos="720"/>
        </w:tabs>
        <w:autoSpaceDE w:val="0"/>
        <w:autoSpaceDN w:val="0"/>
        <w:adjustRightInd w:val="0"/>
        <w:spacing w:after="0" w:line="240" w:lineRule="auto"/>
        <w:rPr>
          <w:rFonts w:ascii="MinionPro-Regular" w:hAnsi="MinionPro-Regular" w:cs="MinionPro-Regular"/>
          <w:sz w:val="18"/>
          <w:szCs w:val="18"/>
        </w:rPr>
      </w:pPr>
    </w:p>
    <w:p w14:paraId="70902175" w14:textId="64608B06" w:rsidR="002B7471" w:rsidRDefault="002B7471" w:rsidP="00463562">
      <w:pPr>
        <w:tabs>
          <w:tab w:val="num" w:pos="720"/>
        </w:tabs>
        <w:autoSpaceDE w:val="0"/>
        <w:autoSpaceDN w:val="0"/>
        <w:adjustRightInd w:val="0"/>
        <w:spacing w:after="0" w:line="240" w:lineRule="auto"/>
        <w:rPr>
          <w:rFonts w:ascii="MinionPro-Regular" w:hAnsi="MinionPro-Regular" w:cs="MinionPro-Regular"/>
          <w:sz w:val="18"/>
          <w:szCs w:val="18"/>
        </w:rPr>
      </w:pPr>
    </w:p>
    <w:p w14:paraId="66C25964" w14:textId="48EC46F7" w:rsidR="002B7471" w:rsidRDefault="002B7471" w:rsidP="00463562">
      <w:pPr>
        <w:tabs>
          <w:tab w:val="num" w:pos="720"/>
        </w:tabs>
        <w:autoSpaceDE w:val="0"/>
        <w:autoSpaceDN w:val="0"/>
        <w:adjustRightInd w:val="0"/>
        <w:spacing w:after="0" w:line="240" w:lineRule="auto"/>
        <w:rPr>
          <w:rFonts w:ascii="MinionPro-Regular" w:hAnsi="MinionPro-Regular" w:cs="MinionPro-Regular"/>
          <w:sz w:val="18"/>
          <w:szCs w:val="18"/>
        </w:rPr>
      </w:pPr>
    </w:p>
    <w:p w14:paraId="2B6B5251" w14:textId="77777777" w:rsidR="002B7471" w:rsidRDefault="002B7471" w:rsidP="00463562">
      <w:pPr>
        <w:tabs>
          <w:tab w:val="num" w:pos="720"/>
        </w:tabs>
        <w:autoSpaceDE w:val="0"/>
        <w:autoSpaceDN w:val="0"/>
        <w:adjustRightInd w:val="0"/>
        <w:spacing w:after="0" w:line="240" w:lineRule="auto"/>
        <w:rPr>
          <w:rFonts w:ascii="MinionPro-Regular" w:hAnsi="MinionPro-Regular" w:cs="MinionPro-Regular"/>
          <w:sz w:val="18"/>
          <w:szCs w:val="18"/>
        </w:rPr>
      </w:pPr>
    </w:p>
    <w:p w14:paraId="52E8DF0B" w14:textId="4FAE8449" w:rsidR="005A4A2A" w:rsidRDefault="005A4A2A" w:rsidP="00463562">
      <w:pPr>
        <w:tabs>
          <w:tab w:val="num" w:pos="720"/>
        </w:tabs>
        <w:autoSpaceDE w:val="0"/>
        <w:autoSpaceDN w:val="0"/>
        <w:adjustRightInd w:val="0"/>
        <w:spacing w:after="0" w:line="240" w:lineRule="auto"/>
        <w:rPr>
          <w:rFonts w:ascii="MinionPro-Regular" w:hAnsi="MinionPro-Regular" w:cs="MinionPro-Regular"/>
          <w:sz w:val="18"/>
          <w:szCs w:val="18"/>
        </w:rPr>
      </w:pPr>
    </w:p>
    <w:p w14:paraId="7D78CD8B" w14:textId="77777777" w:rsidR="0094495D" w:rsidRDefault="0094495D" w:rsidP="00463562">
      <w:pPr>
        <w:tabs>
          <w:tab w:val="num" w:pos="720"/>
        </w:tabs>
        <w:autoSpaceDE w:val="0"/>
        <w:autoSpaceDN w:val="0"/>
        <w:adjustRightInd w:val="0"/>
        <w:spacing w:after="0" w:line="240" w:lineRule="auto"/>
        <w:rPr>
          <w:rFonts w:ascii="MinionPro-Regular" w:hAnsi="MinionPro-Regular" w:cs="MinionPro-Regular"/>
          <w:b/>
          <w:sz w:val="20"/>
          <w:szCs w:val="18"/>
        </w:rPr>
      </w:pPr>
    </w:p>
    <w:p w14:paraId="1EDCE33A" w14:textId="77777777" w:rsidR="0094495D" w:rsidRDefault="0094495D" w:rsidP="00463562">
      <w:pPr>
        <w:tabs>
          <w:tab w:val="num" w:pos="720"/>
        </w:tabs>
        <w:autoSpaceDE w:val="0"/>
        <w:autoSpaceDN w:val="0"/>
        <w:adjustRightInd w:val="0"/>
        <w:spacing w:after="0" w:line="240" w:lineRule="auto"/>
        <w:rPr>
          <w:rFonts w:ascii="MinionPro-Regular" w:hAnsi="MinionPro-Regular" w:cs="MinionPro-Regular"/>
          <w:b/>
          <w:sz w:val="20"/>
          <w:szCs w:val="18"/>
        </w:rPr>
      </w:pPr>
    </w:p>
    <w:p w14:paraId="4D0BE147" w14:textId="77777777" w:rsidR="0094495D" w:rsidRDefault="0094495D" w:rsidP="00463562">
      <w:pPr>
        <w:tabs>
          <w:tab w:val="num" w:pos="720"/>
        </w:tabs>
        <w:autoSpaceDE w:val="0"/>
        <w:autoSpaceDN w:val="0"/>
        <w:adjustRightInd w:val="0"/>
        <w:spacing w:after="0" w:line="240" w:lineRule="auto"/>
        <w:rPr>
          <w:rFonts w:ascii="MinionPro-Regular" w:hAnsi="MinionPro-Regular" w:cs="MinionPro-Regular"/>
          <w:b/>
          <w:sz w:val="20"/>
          <w:szCs w:val="18"/>
        </w:rPr>
      </w:pPr>
    </w:p>
    <w:p w14:paraId="12B77E80" w14:textId="77777777" w:rsidR="0094495D" w:rsidRDefault="0094495D" w:rsidP="00463562">
      <w:pPr>
        <w:tabs>
          <w:tab w:val="num" w:pos="720"/>
        </w:tabs>
        <w:autoSpaceDE w:val="0"/>
        <w:autoSpaceDN w:val="0"/>
        <w:adjustRightInd w:val="0"/>
        <w:spacing w:after="0" w:line="240" w:lineRule="auto"/>
        <w:rPr>
          <w:rFonts w:ascii="MinionPro-Regular" w:hAnsi="MinionPro-Regular" w:cs="MinionPro-Regular"/>
          <w:b/>
          <w:sz w:val="20"/>
          <w:szCs w:val="18"/>
        </w:rPr>
      </w:pPr>
    </w:p>
    <w:p w14:paraId="5D42139F" w14:textId="77777777" w:rsidR="0094495D" w:rsidRDefault="0094495D" w:rsidP="00463562">
      <w:pPr>
        <w:tabs>
          <w:tab w:val="num" w:pos="720"/>
        </w:tabs>
        <w:autoSpaceDE w:val="0"/>
        <w:autoSpaceDN w:val="0"/>
        <w:adjustRightInd w:val="0"/>
        <w:spacing w:after="0" w:line="240" w:lineRule="auto"/>
        <w:rPr>
          <w:rFonts w:ascii="MinionPro-Regular" w:hAnsi="MinionPro-Regular" w:cs="MinionPro-Regular"/>
          <w:b/>
          <w:sz w:val="20"/>
          <w:szCs w:val="18"/>
        </w:rPr>
      </w:pPr>
    </w:p>
    <w:p w14:paraId="17998348" w14:textId="77777777" w:rsidR="0094495D" w:rsidRDefault="0094495D" w:rsidP="00463562">
      <w:pPr>
        <w:tabs>
          <w:tab w:val="num" w:pos="720"/>
        </w:tabs>
        <w:autoSpaceDE w:val="0"/>
        <w:autoSpaceDN w:val="0"/>
        <w:adjustRightInd w:val="0"/>
        <w:spacing w:after="0" w:line="240" w:lineRule="auto"/>
        <w:rPr>
          <w:rFonts w:ascii="MinionPro-Regular" w:hAnsi="MinionPro-Regular" w:cs="MinionPro-Regular"/>
          <w:b/>
          <w:sz w:val="20"/>
          <w:szCs w:val="18"/>
        </w:rPr>
      </w:pPr>
    </w:p>
    <w:p w14:paraId="7515B8F6" w14:textId="4AF79846" w:rsidR="005A4A2A" w:rsidRPr="005A4A2A" w:rsidRDefault="005A4A2A" w:rsidP="00463562">
      <w:pPr>
        <w:tabs>
          <w:tab w:val="num" w:pos="720"/>
        </w:tabs>
        <w:autoSpaceDE w:val="0"/>
        <w:autoSpaceDN w:val="0"/>
        <w:adjustRightInd w:val="0"/>
        <w:spacing w:after="0" w:line="240" w:lineRule="auto"/>
        <w:rPr>
          <w:rFonts w:ascii="MinionPro-Regular" w:hAnsi="MinionPro-Regular" w:cs="MinionPro-Regular"/>
          <w:b/>
          <w:sz w:val="18"/>
          <w:szCs w:val="18"/>
        </w:rPr>
      </w:pPr>
      <w:r w:rsidRPr="005A4A2A">
        <w:rPr>
          <w:rFonts w:ascii="MinionPro-Regular" w:hAnsi="MinionPro-Regular" w:cs="MinionPro-Regular"/>
          <w:b/>
          <w:sz w:val="20"/>
          <w:szCs w:val="18"/>
        </w:rPr>
        <w:t>Appendix</w:t>
      </w:r>
    </w:p>
    <w:p w14:paraId="7EB3872B" w14:textId="48556A17" w:rsidR="005A4A2A" w:rsidRDefault="005A4A2A" w:rsidP="00463562">
      <w:pPr>
        <w:tabs>
          <w:tab w:val="num" w:pos="720"/>
        </w:tabs>
        <w:autoSpaceDE w:val="0"/>
        <w:autoSpaceDN w:val="0"/>
        <w:adjustRightInd w:val="0"/>
        <w:spacing w:after="0" w:line="240" w:lineRule="auto"/>
        <w:rPr>
          <w:rFonts w:ascii="MinionPro-Regular" w:hAnsi="MinionPro-Regular" w:cs="MinionPro-Regular"/>
          <w:sz w:val="18"/>
          <w:szCs w:val="18"/>
        </w:rPr>
      </w:pPr>
    </w:p>
    <w:p w14:paraId="3FA6E0DF" w14:textId="77777777" w:rsidR="0094495D" w:rsidRDefault="0094495D" w:rsidP="005A4A2A">
      <w:pPr>
        <w:autoSpaceDE w:val="0"/>
        <w:autoSpaceDN w:val="0"/>
        <w:adjustRightInd w:val="0"/>
        <w:spacing w:after="0" w:line="240" w:lineRule="auto"/>
      </w:pPr>
    </w:p>
    <w:p w14:paraId="4241F41E" w14:textId="77777777" w:rsidR="0094495D" w:rsidRDefault="0094495D" w:rsidP="0094495D">
      <w:pPr>
        <w:autoSpaceDE w:val="0"/>
        <w:autoSpaceDN w:val="0"/>
        <w:adjustRightInd w:val="0"/>
        <w:spacing w:after="0" w:line="240" w:lineRule="auto"/>
      </w:pPr>
      <w:r>
        <w:t>Data sources used:</w:t>
      </w:r>
    </w:p>
    <w:p w14:paraId="773EF4B8" w14:textId="77777777" w:rsidR="0094495D" w:rsidRDefault="0094495D" w:rsidP="0094495D">
      <w:pPr>
        <w:autoSpaceDE w:val="0"/>
        <w:autoSpaceDN w:val="0"/>
        <w:adjustRightInd w:val="0"/>
        <w:spacing w:after="0" w:line="240" w:lineRule="auto"/>
      </w:pPr>
      <w:r>
        <w:t xml:space="preserve">GTAP7 is the primary database for crop and water specific factor costs. Validation on these costs was done using </w:t>
      </w:r>
    </w:p>
    <w:p w14:paraId="453F1E2B" w14:textId="77777777" w:rsidR="0094495D" w:rsidRDefault="0094495D" w:rsidP="0094495D">
      <w:pPr>
        <w:pStyle w:val="ListParagraph"/>
        <w:numPr>
          <w:ilvl w:val="0"/>
          <w:numId w:val="2"/>
        </w:numPr>
        <w:autoSpaceDE w:val="0"/>
        <w:autoSpaceDN w:val="0"/>
        <w:adjustRightInd w:val="0"/>
        <w:spacing w:after="0" w:line="240" w:lineRule="auto"/>
      </w:pPr>
      <w:r>
        <w:t xml:space="preserve">Statistical Abstracts for Punjab, Rajasthan, Haryana with time series data from 2000-2017 </w:t>
      </w:r>
    </w:p>
    <w:p w14:paraId="2175440B" w14:textId="77777777" w:rsidR="0094495D" w:rsidRDefault="0094495D" w:rsidP="0094495D">
      <w:pPr>
        <w:pStyle w:val="ListParagraph"/>
        <w:numPr>
          <w:ilvl w:val="0"/>
          <w:numId w:val="2"/>
        </w:numPr>
        <w:autoSpaceDE w:val="0"/>
        <w:autoSpaceDN w:val="0"/>
        <w:adjustRightInd w:val="0"/>
        <w:spacing w:after="0" w:line="240" w:lineRule="auto"/>
      </w:pPr>
      <w:r>
        <w:t xml:space="preserve">Central Groundwater Board of India </w:t>
      </w:r>
    </w:p>
    <w:p w14:paraId="2AC02D78" w14:textId="77777777" w:rsidR="0094495D" w:rsidRPr="008B7062" w:rsidRDefault="0094495D" w:rsidP="0094495D">
      <w:pPr>
        <w:pStyle w:val="ListParagraph"/>
        <w:numPr>
          <w:ilvl w:val="0"/>
          <w:numId w:val="2"/>
        </w:numPr>
        <w:autoSpaceDE w:val="0"/>
        <w:autoSpaceDN w:val="0"/>
        <w:adjustRightInd w:val="0"/>
        <w:spacing w:after="0" w:line="240" w:lineRule="auto"/>
      </w:pPr>
      <w:r>
        <w:t xml:space="preserve">Literature on tariff rates in other states and their effects on irrigation water extraction </w:t>
      </w:r>
    </w:p>
    <w:p w14:paraId="299D1569" w14:textId="77777777" w:rsidR="0094495D" w:rsidRDefault="0094495D" w:rsidP="0094495D">
      <w:pPr>
        <w:autoSpaceDE w:val="0"/>
        <w:autoSpaceDN w:val="0"/>
        <w:adjustRightInd w:val="0"/>
        <w:spacing w:after="0" w:line="240" w:lineRule="auto"/>
      </w:pPr>
    </w:p>
    <w:p w14:paraId="2896788E" w14:textId="77777777" w:rsidR="0094495D" w:rsidRDefault="0094495D" w:rsidP="005A4A2A">
      <w:pPr>
        <w:autoSpaceDE w:val="0"/>
        <w:autoSpaceDN w:val="0"/>
        <w:adjustRightInd w:val="0"/>
        <w:spacing w:after="0" w:line="240" w:lineRule="auto"/>
      </w:pPr>
    </w:p>
    <w:p w14:paraId="02F4B79E" w14:textId="77777777" w:rsidR="0094495D" w:rsidRDefault="0094495D" w:rsidP="005A4A2A">
      <w:pPr>
        <w:autoSpaceDE w:val="0"/>
        <w:autoSpaceDN w:val="0"/>
        <w:adjustRightInd w:val="0"/>
        <w:spacing w:after="0" w:line="240" w:lineRule="auto"/>
      </w:pPr>
    </w:p>
    <w:p w14:paraId="66621556" w14:textId="77777777" w:rsidR="0094495D" w:rsidRDefault="0094495D" w:rsidP="005A4A2A">
      <w:pPr>
        <w:autoSpaceDE w:val="0"/>
        <w:autoSpaceDN w:val="0"/>
        <w:adjustRightInd w:val="0"/>
        <w:spacing w:after="0" w:line="240" w:lineRule="auto"/>
      </w:pPr>
    </w:p>
    <w:p w14:paraId="413C52D1" w14:textId="77777777" w:rsidR="0094495D" w:rsidRDefault="0094495D" w:rsidP="005A4A2A">
      <w:pPr>
        <w:autoSpaceDE w:val="0"/>
        <w:autoSpaceDN w:val="0"/>
        <w:adjustRightInd w:val="0"/>
        <w:spacing w:after="0" w:line="240" w:lineRule="auto"/>
      </w:pPr>
    </w:p>
    <w:p w14:paraId="4DC7CCBF" w14:textId="5BD97A79" w:rsidR="005A4A2A" w:rsidRDefault="005A4A2A" w:rsidP="005A4A2A">
      <w:pPr>
        <w:autoSpaceDE w:val="0"/>
        <w:autoSpaceDN w:val="0"/>
        <w:adjustRightInd w:val="0"/>
        <w:spacing w:after="0" w:line="240" w:lineRule="auto"/>
      </w:pPr>
      <w:r>
        <w:t xml:space="preserve">Table 1 highlights the extent of groundwater development from 2004 to 2017 in India. </w:t>
      </w:r>
    </w:p>
    <w:p w14:paraId="05069AED" w14:textId="77777777" w:rsidR="005A4A2A" w:rsidRDefault="005A4A2A" w:rsidP="005A4A2A">
      <w:pPr>
        <w:autoSpaceDE w:val="0"/>
        <w:autoSpaceDN w:val="0"/>
        <w:adjustRightInd w:val="0"/>
        <w:spacing w:after="0" w:line="240" w:lineRule="auto"/>
      </w:pPr>
    </w:p>
    <w:p w14:paraId="697219E9" w14:textId="77777777" w:rsidR="005A4A2A" w:rsidRDefault="005A4A2A" w:rsidP="005A4A2A">
      <w:pPr>
        <w:autoSpaceDE w:val="0"/>
        <w:autoSpaceDN w:val="0"/>
        <w:adjustRightInd w:val="0"/>
        <w:spacing w:after="0" w:line="240" w:lineRule="auto"/>
      </w:pPr>
      <w:r>
        <w:t>Table 1: Assessment of groundwater development from 2004 to 2017</w:t>
      </w:r>
    </w:p>
    <w:tbl>
      <w:tblPr>
        <w:tblW w:w="9240" w:type="dxa"/>
        <w:tblLook w:val="04A0" w:firstRow="1" w:lastRow="0" w:firstColumn="1" w:lastColumn="0" w:noHBand="0" w:noVBand="1"/>
      </w:tblPr>
      <w:tblGrid>
        <w:gridCol w:w="328"/>
        <w:gridCol w:w="4488"/>
        <w:gridCol w:w="772"/>
        <w:gridCol w:w="772"/>
        <w:gridCol w:w="960"/>
        <w:gridCol w:w="960"/>
        <w:gridCol w:w="960"/>
      </w:tblGrid>
      <w:tr w:rsidR="005A4A2A" w:rsidRPr="00AB1631" w14:paraId="45594525" w14:textId="77777777" w:rsidTr="006566FB">
        <w:trPr>
          <w:trHeight w:val="288"/>
        </w:trPr>
        <w:tc>
          <w:tcPr>
            <w:tcW w:w="9240" w:type="dxa"/>
            <w:gridSpan w:val="7"/>
            <w:tcBorders>
              <w:top w:val="nil"/>
              <w:left w:val="nil"/>
              <w:bottom w:val="nil"/>
              <w:right w:val="nil"/>
            </w:tcBorders>
            <w:shd w:val="clear" w:color="auto" w:fill="auto"/>
            <w:noWrap/>
            <w:vAlign w:val="bottom"/>
            <w:hideMark/>
          </w:tcPr>
          <w:p w14:paraId="5958F91A" w14:textId="77777777" w:rsidR="005A4A2A" w:rsidRPr="00AB1631" w:rsidRDefault="005A4A2A" w:rsidP="006566FB">
            <w:pPr>
              <w:spacing w:after="0" w:line="240" w:lineRule="auto"/>
              <w:rPr>
                <w:rFonts w:ascii="Times New Roman" w:eastAsia="Times New Roman" w:hAnsi="Times New Roman" w:cs="Times New Roman"/>
                <w:b/>
                <w:sz w:val="20"/>
                <w:szCs w:val="20"/>
              </w:rPr>
            </w:pPr>
            <w:r w:rsidRPr="00AB1631">
              <w:rPr>
                <w:rFonts w:ascii="Calibri" w:eastAsia="Times New Roman" w:hAnsi="Calibri" w:cs="Calibri"/>
                <w:b/>
                <w:color w:val="000000"/>
              </w:rPr>
              <w:t>Ground water Resources assessment 2004 to 2017 (bcm)</w:t>
            </w:r>
          </w:p>
        </w:tc>
      </w:tr>
      <w:tr w:rsidR="005A4A2A" w:rsidRPr="00AB1631" w14:paraId="43EA0E37" w14:textId="77777777" w:rsidTr="00401601">
        <w:trPr>
          <w:trHeight w:val="288"/>
        </w:trPr>
        <w:tc>
          <w:tcPr>
            <w:tcW w:w="328" w:type="dxa"/>
            <w:tcBorders>
              <w:top w:val="nil"/>
              <w:left w:val="nil"/>
              <w:bottom w:val="nil"/>
              <w:right w:val="nil"/>
            </w:tcBorders>
            <w:shd w:val="clear" w:color="auto" w:fill="auto"/>
            <w:noWrap/>
            <w:vAlign w:val="bottom"/>
            <w:hideMark/>
          </w:tcPr>
          <w:p w14:paraId="0CBE6919" w14:textId="77777777" w:rsidR="005A4A2A" w:rsidRPr="00AB1631" w:rsidRDefault="005A4A2A" w:rsidP="006566FB">
            <w:pPr>
              <w:spacing w:after="0" w:line="240" w:lineRule="auto"/>
              <w:jc w:val="right"/>
              <w:rPr>
                <w:rFonts w:ascii="Calibri" w:eastAsia="Times New Roman" w:hAnsi="Calibri" w:cs="Calibri"/>
                <w:b/>
                <w:bCs/>
                <w:color w:val="000000"/>
              </w:rPr>
            </w:pPr>
          </w:p>
        </w:tc>
        <w:tc>
          <w:tcPr>
            <w:tcW w:w="4488" w:type="dxa"/>
            <w:tcBorders>
              <w:top w:val="nil"/>
              <w:left w:val="nil"/>
              <w:bottom w:val="nil"/>
              <w:right w:val="nil"/>
            </w:tcBorders>
            <w:shd w:val="clear" w:color="auto" w:fill="auto"/>
            <w:vAlign w:val="bottom"/>
            <w:hideMark/>
          </w:tcPr>
          <w:p w14:paraId="7FD29096" w14:textId="77777777" w:rsidR="005A4A2A" w:rsidRPr="00AB1631" w:rsidRDefault="005A4A2A" w:rsidP="006566FB">
            <w:pPr>
              <w:spacing w:after="0" w:line="240" w:lineRule="auto"/>
              <w:jc w:val="right"/>
              <w:rPr>
                <w:rFonts w:ascii="Calibri" w:eastAsia="Times New Roman" w:hAnsi="Calibri" w:cs="Calibri"/>
                <w:b/>
                <w:bCs/>
                <w:color w:val="000000"/>
              </w:rPr>
            </w:pPr>
          </w:p>
        </w:tc>
        <w:tc>
          <w:tcPr>
            <w:tcW w:w="772" w:type="dxa"/>
            <w:tcBorders>
              <w:top w:val="nil"/>
              <w:left w:val="nil"/>
              <w:bottom w:val="nil"/>
              <w:right w:val="nil"/>
            </w:tcBorders>
            <w:shd w:val="clear" w:color="auto" w:fill="auto"/>
            <w:noWrap/>
            <w:vAlign w:val="bottom"/>
            <w:hideMark/>
          </w:tcPr>
          <w:p w14:paraId="4C01C6A6" w14:textId="77777777" w:rsidR="005A4A2A" w:rsidRPr="00AB1631" w:rsidRDefault="005A4A2A" w:rsidP="006566FB">
            <w:pPr>
              <w:spacing w:after="0" w:line="240" w:lineRule="auto"/>
              <w:jc w:val="right"/>
              <w:rPr>
                <w:rFonts w:ascii="Calibri" w:eastAsia="Times New Roman" w:hAnsi="Calibri" w:cs="Calibri"/>
                <w:b/>
                <w:bCs/>
                <w:color w:val="000000"/>
              </w:rPr>
            </w:pPr>
            <w:r w:rsidRPr="00AB1631">
              <w:rPr>
                <w:rFonts w:ascii="Calibri" w:eastAsia="Times New Roman" w:hAnsi="Calibri" w:cs="Calibri"/>
                <w:b/>
                <w:bCs/>
                <w:color w:val="000000"/>
              </w:rPr>
              <w:t>2004</w:t>
            </w:r>
          </w:p>
        </w:tc>
        <w:tc>
          <w:tcPr>
            <w:tcW w:w="772" w:type="dxa"/>
            <w:tcBorders>
              <w:top w:val="nil"/>
              <w:left w:val="nil"/>
              <w:bottom w:val="nil"/>
              <w:right w:val="nil"/>
            </w:tcBorders>
            <w:shd w:val="clear" w:color="auto" w:fill="auto"/>
            <w:noWrap/>
            <w:vAlign w:val="bottom"/>
            <w:hideMark/>
          </w:tcPr>
          <w:p w14:paraId="7B2EA764" w14:textId="77777777" w:rsidR="005A4A2A" w:rsidRPr="00AB1631" w:rsidRDefault="005A4A2A" w:rsidP="006566FB">
            <w:pPr>
              <w:spacing w:after="0" w:line="240" w:lineRule="auto"/>
              <w:jc w:val="right"/>
              <w:rPr>
                <w:rFonts w:ascii="Calibri" w:eastAsia="Times New Roman" w:hAnsi="Calibri" w:cs="Calibri"/>
                <w:b/>
                <w:bCs/>
                <w:color w:val="000000"/>
              </w:rPr>
            </w:pPr>
            <w:r w:rsidRPr="00AB1631">
              <w:rPr>
                <w:rFonts w:ascii="Calibri" w:eastAsia="Times New Roman" w:hAnsi="Calibri" w:cs="Calibri"/>
                <w:b/>
                <w:bCs/>
                <w:color w:val="000000"/>
              </w:rPr>
              <w:t>2009</w:t>
            </w:r>
          </w:p>
        </w:tc>
        <w:tc>
          <w:tcPr>
            <w:tcW w:w="960" w:type="dxa"/>
            <w:tcBorders>
              <w:top w:val="nil"/>
              <w:left w:val="nil"/>
              <w:bottom w:val="nil"/>
              <w:right w:val="nil"/>
            </w:tcBorders>
            <w:shd w:val="clear" w:color="auto" w:fill="auto"/>
            <w:noWrap/>
            <w:vAlign w:val="bottom"/>
            <w:hideMark/>
          </w:tcPr>
          <w:p w14:paraId="47D8A668" w14:textId="77777777" w:rsidR="005A4A2A" w:rsidRPr="00AB1631" w:rsidRDefault="005A4A2A" w:rsidP="006566FB">
            <w:pPr>
              <w:spacing w:after="0" w:line="240" w:lineRule="auto"/>
              <w:jc w:val="right"/>
              <w:rPr>
                <w:rFonts w:ascii="Calibri" w:eastAsia="Times New Roman" w:hAnsi="Calibri" w:cs="Calibri"/>
                <w:b/>
                <w:bCs/>
                <w:color w:val="000000"/>
              </w:rPr>
            </w:pPr>
            <w:r w:rsidRPr="00AB1631">
              <w:rPr>
                <w:rFonts w:ascii="Calibri" w:eastAsia="Times New Roman" w:hAnsi="Calibri" w:cs="Calibri"/>
                <w:b/>
                <w:bCs/>
                <w:color w:val="000000"/>
              </w:rPr>
              <w:t>2011</w:t>
            </w:r>
          </w:p>
        </w:tc>
        <w:tc>
          <w:tcPr>
            <w:tcW w:w="960" w:type="dxa"/>
            <w:tcBorders>
              <w:top w:val="nil"/>
              <w:left w:val="nil"/>
              <w:bottom w:val="nil"/>
              <w:right w:val="nil"/>
            </w:tcBorders>
            <w:shd w:val="clear" w:color="auto" w:fill="auto"/>
            <w:noWrap/>
            <w:vAlign w:val="bottom"/>
            <w:hideMark/>
          </w:tcPr>
          <w:p w14:paraId="5D74C004" w14:textId="77777777" w:rsidR="005A4A2A" w:rsidRPr="00AB1631" w:rsidRDefault="005A4A2A" w:rsidP="006566FB">
            <w:pPr>
              <w:spacing w:after="0" w:line="240" w:lineRule="auto"/>
              <w:jc w:val="right"/>
              <w:rPr>
                <w:rFonts w:ascii="Calibri" w:eastAsia="Times New Roman" w:hAnsi="Calibri" w:cs="Calibri"/>
                <w:b/>
                <w:bCs/>
                <w:color w:val="000000"/>
              </w:rPr>
            </w:pPr>
            <w:r w:rsidRPr="00AB1631">
              <w:rPr>
                <w:rFonts w:ascii="Calibri" w:eastAsia="Times New Roman" w:hAnsi="Calibri" w:cs="Calibri"/>
                <w:b/>
                <w:bCs/>
                <w:color w:val="000000"/>
              </w:rPr>
              <w:t>2013</w:t>
            </w:r>
          </w:p>
        </w:tc>
        <w:tc>
          <w:tcPr>
            <w:tcW w:w="960" w:type="dxa"/>
            <w:tcBorders>
              <w:top w:val="nil"/>
              <w:left w:val="nil"/>
              <w:bottom w:val="nil"/>
              <w:right w:val="nil"/>
            </w:tcBorders>
            <w:shd w:val="clear" w:color="auto" w:fill="auto"/>
            <w:noWrap/>
            <w:vAlign w:val="bottom"/>
            <w:hideMark/>
          </w:tcPr>
          <w:p w14:paraId="62F74A4B" w14:textId="77777777" w:rsidR="005A4A2A" w:rsidRPr="00AB1631" w:rsidRDefault="005A4A2A" w:rsidP="006566FB">
            <w:pPr>
              <w:spacing w:after="0" w:line="240" w:lineRule="auto"/>
              <w:jc w:val="right"/>
              <w:rPr>
                <w:rFonts w:ascii="Calibri" w:eastAsia="Times New Roman" w:hAnsi="Calibri" w:cs="Calibri"/>
                <w:b/>
                <w:bCs/>
                <w:color w:val="000000"/>
              </w:rPr>
            </w:pPr>
            <w:r w:rsidRPr="00AB1631">
              <w:rPr>
                <w:rFonts w:ascii="Calibri" w:eastAsia="Times New Roman" w:hAnsi="Calibri" w:cs="Calibri"/>
                <w:b/>
                <w:bCs/>
                <w:color w:val="000000"/>
              </w:rPr>
              <w:t>2017</w:t>
            </w:r>
          </w:p>
        </w:tc>
      </w:tr>
      <w:tr w:rsidR="005A4A2A" w:rsidRPr="00AB1631" w14:paraId="2AA26E87" w14:textId="77777777" w:rsidTr="00401601">
        <w:trPr>
          <w:trHeight w:val="576"/>
        </w:trPr>
        <w:tc>
          <w:tcPr>
            <w:tcW w:w="328" w:type="dxa"/>
            <w:tcBorders>
              <w:top w:val="nil"/>
              <w:left w:val="nil"/>
              <w:bottom w:val="nil"/>
              <w:right w:val="nil"/>
            </w:tcBorders>
            <w:shd w:val="clear" w:color="auto" w:fill="auto"/>
            <w:noWrap/>
            <w:vAlign w:val="bottom"/>
            <w:hideMark/>
          </w:tcPr>
          <w:p w14:paraId="05302E33" w14:textId="77777777" w:rsidR="005A4A2A" w:rsidRPr="00AB1631" w:rsidRDefault="005A4A2A" w:rsidP="006566FB">
            <w:pPr>
              <w:spacing w:after="0" w:line="240" w:lineRule="auto"/>
              <w:jc w:val="right"/>
              <w:rPr>
                <w:rFonts w:ascii="Calibri" w:eastAsia="Times New Roman" w:hAnsi="Calibri" w:cs="Calibri"/>
                <w:color w:val="000000"/>
              </w:rPr>
            </w:pPr>
            <w:r w:rsidRPr="00AB1631">
              <w:rPr>
                <w:rFonts w:ascii="Calibri" w:eastAsia="Times New Roman" w:hAnsi="Calibri" w:cs="Calibri"/>
                <w:color w:val="000000"/>
              </w:rPr>
              <w:t>1</w:t>
            </w:r>
          </w:p>
        </w:tc>
        <w:tc>
          <w:tcPr>
            <w:tcW w:w="4488" w:type="dxa"/>
            <w:tcBorders>
              <w:top w:val="nil"/>
              <w:left w:val="nil"/>
              <w:bottom w:val="nil"/>
              <w:right w:val="nil"/>
            </w:tcBorders>
            <w:shd w:val="clear" w:color="auto" w:fill="auto"/>
            <w:vAlign w:val="bottom"/>
            <w:hideMark/>
          </w:tcPr>
          <w:p w14:paraId="24690251" w14:textId="77777777" w:rsidR="005A4A2A" w:rsidRPr="00AB1631" w:rsidRDefault="005A4A2A" w:rsidP="006566FB">
            <w:pPr>
              <w:spacing w:after="0" w:line="240" w:lineRule="auto"/>
              <w:rPr>
                <w:rFonts w:ascii="Calibri" w:eastAsia="Times New Roman" w:hAnsi="Calibri" w:cs="Calibri"/>
                <w:color w:val="000000"/>
              </w:rPr>
            </w:pPr>
            <w:r w:rsidRPr="00AB1631">
              <w:rPr>
                <w:rFonts w:ascii="Calibri" w:eastAsia="Times New Roman" w:hAnsi="Calibri" w:cs="Calibri"/>
                <w:color w:val="000000"/>
              </w:rPr>
              <w:t>Annual Replenishable Ground Water Resources</w:t>
            </w:r>
          </w:p>
        </w:tc>
        <w:tc>
          <w:tcPr>
            <w:tcW w:w="772" w:type="dxa"/>
            <w:tcBorders>
              <w:top w:val="nil"/>
              <w:left w:val="nil"/>
              <w:bottom w:val="nil"/>
              <w:right w:val="nil"/>
            </w:tcBorders>
            <w:shd w:val="clear" w:color="auto" w:fill="auto"/>
            <w:noWrap/>
            <w:vAlign w:val="bottom"/>
            <w:hideMark/>
          </w:tcPr>
          <w:p w14:paraId="6B8AA235" w14:textId="77777777" w:rsidR="005A4A2A" w:rsidRPr="00AB1631" w:rsidRDefault="005A4A2A" w:rsidP="006566FB">
            <w:pPr>
              <w:spacing w:after="0" w:line="240" w:lineRule="auto"/>
              <w:jc w:val="right"/>
              <w:rPr>
                <w:rFonts w:ascii="Calibri" w:eastAsia="Times New Roman" w:hAnsi="Calibri" w:cs="Calibri"/>
                <w:color w:val="000000"/>
              </w:rPr>
            </w:pPr>
            <w:r w:rsidRPr="00AB1631">
              <w:rPr>
                <w:rFonts w:ascii="Calibri" w:eastAsia="Times New Roman" w:hAnsi="Calibri" w:cs="Calibri"/>
                <w:color w:val="000000"/>
              </w:rPr>
              <w:t>433</w:t>
            </w:r>
          </w:p>
        </w:tc>
        <w:tc>
          <w:tcPr>
            <w:tcW w:w="772" w:type="dxa"/>
            <w:tcBorders>
              <w:top w:val="nil"/>
              <w:left w:val="nil"/>
              <w:bottom w:val="nil"/>
              <w:right w:val="nil"/>
            </w:tcBorders>
            <w:shd w:val="clear" w:color="auto" w:fill="auto"/>
            <w:noWrap/>
            <w:vAlign w:val="bottom"/>
            <w:hideMark/>
          </w:tcPr>
          <w:p w14:paraId="407DC1B7" w14:textId="77777777" w:rsidR="005A4A2A" w:rsidRPr="00AB1631" w:rsidRDefault="005A4A2A" w:rsidP="006566FB">
            <w:pPr>
              <w:spacing w:after="0" w:line="240" w:lineRule="auto"/>
              <w:jc w:val="right"/>
              <w:rPr>
                <w:rFonts w:ascii="Calibri" w:eastAsia="Times New Roman" w:hAnsi="Calibri" w:cs="Calibri"/>
                <w:color w:val="000000"/>
              </w:rPr>
            </w:pPr>
            <w:r w:rsidRPr="00AB1631">
              <w:rPr>
                <w:rFonts w:ascii="Calibri" w:eastAsia="Times New Roman" w:hAnsi="Calibri" w:cs="Calibri"/>
                <w:color w:val="000000"/>
              </w:rPr>
              <w:t>431</w:t>
            </w:r>
          </w:p>
        </w:tc>
        <w:tc>
          <w:tcPr>
            <w:tcW w:w="960" w:type="dxa"/>
            <w:tcBorders>
              <w:top w:val="nil"/>
              <w:left w:val="nil"/>
              <w:bottom w:val="nil"/>
              <w:right w:val="nil"/>
            </w:tcBorders>
            <w:shd w:val="clear" w:color="auto" w:fill="auto"/>
            <w:noWrap/>
            <w:vAlign w:val="bottom"/>
            <w:hideMark/>
          </w:tcPr>
          <w:p w14:paraId="337D6A10" w14:textId="77777777" w:rsidR="005A4A2A" w:rsidRPr="00AB1631" w:rsidRDefault="005A4A2A" w:rsidP="006566FB">
            <w:pPr>
              <w:spacing w:after="0" w:line="240" w:lineRule="auto"/>
              <w:jc w:val="right"/>
              <w:rPr>
                <w:rFonts w:ascii="Calibri" w:eastAsia="Times New Roman" w:hAnsi="Calibri" w:cs="Calibri"/>
                <w:color w:val="000000"/>
              </w:rPr>
            </w:pPr>
            <w:r w:rsidRPr="00AB1631">
              <w:rPr>
                <w:rFonts w:ascii="Calibri" w:eastAsia="Times New Roman" w:hAnsi="Calibri" w:cs="Calibri"/>
                <w:color w:val="000000"/>
              </w:rPr>
              <w:t>433</w:t>
            </w:r>
          </w:p>
        </w:tc>
        <w:tc>
          <w:tcPr>
            <w:tcW w:w="960" w:type="dxa"/>
            <w:tcBorders>
              <w:top w:val="nil"/>
              <w:left w:val="nil"/>
              <w:bottom w:val="nil"/>
              <w:right w:val="nil"/>
            </w:tcBorders>
            <w:shd w:val="clear" w:color="auto" w:fill="auto"/>
            <w:noWrap/>
            <w:vAlign w:val="bottom"/>
            <w:hideMark/>
          </w:tcPr>
          <w:p w14:paraId="6D5AC6D2" w14:textId="77777777" w:rsidR="005A4A2A" w:rsidRPr="00AB1631" w:rsidRDefault="005A4A2A" w:rsidP="006566FB">
            <w:pPr>
              <w:spacing w:after="0" w:line="240" w:lineRule="auto"/>
              <w:jc w:val="right"/>
              <w:rPr>
                <w:rFonts w:ascii="Calibri" w:eastAsia="Times New Roman" w:hAnsi="Calibri" w:cs="Calibri"/>
                <w:color w:val="000000"/>
              </w:rPr>
            </w:pPr>
            <w:r w:rsidRPr="00AB1631">
              <w:rPr>
                <w:rFonts w:ascii="Calibri" w:eastAsia="Times New Roman" w:hAnsi="Calibri" w:cs="Calibri"/>
                <w:color w:val="000000"/>
              </w:rPr>
              <w:t>447</w:t>
            </w:r>
          </w:p>
        </w:tc>
        <w:tc>
          <w:tcPr>
            <w:tcW w:w="960" w:type="dxa"/>
            <w:tcBorders>
              <w:top w:val="nil"/>
              <w:left w:val="nil"/>
              <w:bottom w:val="nil"/>
              <w:right w:val="nil"/>
            </w:tcBorders>
            <w:shd w:val="clear" w:color="auto" w:fill="auto"/>
            <w:noWrap/>
            <w:vAlign w:val="bottom"/>
            <w:hideMark/>
          </w:tcPr>
          <w:p w14:paraId="4E8A4C6A" w14:textId="77777777" w:rsidR="005A4A2A" w:rsidRPr="00AB1631" w:rsidRDefault="005A4A2A" w:rsidP="006566FB">
            <w:pPr>
              <w:spacing w:after="0" w:line="240" w:lineRule="auto"/>
              <w:jc w:val="right"/>
              <w:rPr>
                <w:rFonts w:ascii="Calibri" w:eastAsia="Times New Roman" w:hAnsi="Calibri" w:cs="Calibri"/>
                <w:color w:val="000000"/>
              </w:rPr>
            </w:pPr>
            <w:r w:rsidRPr="00AB1631">
              <w:rPr>
                <w:rFonts w:ascii="Calibri" w:eastAsia="Times New Roman" w:hAnsi="Calibri" w:cs="Calibri"/>
                <w:color w:val="000000"/>
              </w:rPr>
              <w:t>432</w:t>
            </w:r>
          </w:p>
        </w:tc>
      </w:tr>
      <w:tr w:rsidR="005A4A2A" w:rsidRPr="00AB1631" w14:paraId="3E96F456" w14:textId="77777777" w:rsidTr="00401601">
        <w:trPr>
          <w:trHeight w:val="288"/>
        </w:trPr>
        <w:tc>
          <w:tcPr>
            <w:tcW w:w="328" w:type="dxa"/>
            <w:tcBorders>
              <w:top w:val="nil"/>
              <w:left w:val="nil"/>
              <w:bottom w:val="nil"/>
              <w:right w:val="nil"/>
            </w:tcBorders>
            <w:shd w:val="clear" w:color="auto" w:fill="auto"/>
            <w:noWrap/>
            <w:vAlign w:val="bottom"/>
            <w:hideMark/>
          </w:tcPr>
          <w:p w14:paraId="3476F9B9" w14:textId="77777777" w:rsidR="005A4A2A" w:rsidRPr="00AB1631" w:rsidRDefault="005A4A2A" w:rsidP="006566FB">
            <w:pPr>
              <w:spacing w:after="0" w:line="240" w:lineRule="auto"/>
              <w:jc w:val="right"/>
              <w:rPr>
                <w:rFonts w:ascii="Calibri" w:eastAsia="Times New Roman" w:hAnsi="Calibri" w:cs="Calibri"/>
                <w:color w:val="000000"/>
              </w:rPr>
            </w:pPr>
            <w:r w:rsidRPr="00AB1631">
              <w:rPr>
                <w:rFonts w:ascii="Calibri" w:eastAsia="Times New Roman" w:hAnsi="Calibri" w:cs="Calibri"/>
                <w:color w:val="000000"/>
              </w:rPr>
              <w:t>2</w:t>
            </w:r>
          </w:p>
        </w:tc>
        <w:tc>
          <w:tcPr>
            <w:tcW w:w="4488" w:type="dxa"/>
            <w:tcBorders>
              <w:top w:val="nil"/>
              <w:left w:val="nil"/>
              <w:bottom w:val="nil"/>
              <w:right w:val="nil"/>
            </w:tcBorders>
            <w:shd w:val="clear" w:color="auto" w:fill="auto"/>
            <w:vAlign w:val="bottom"/>
            <w:hideMark/>
          </w:tcPr>
          <w:p w14:paraId="53570F63" w14:textId="77777777" w:rsidR="005A4A2A" w:rsidRPr="00AB1631" w:rsidRDefault="005A4A2A" w:rsidP="006566FB">
            <w:pPr>
              <w:spacing w:after="0" w:line="240" w:lineRule="auto"/>
              <w:rPr>
                <w:rFonts w:ascii="Calibri" w:eastAsia="Times New Roman" w:hAnsi="Calibri" w:cs="Calibri"/>
                <w:color w:val="000000"/>
              </w:rPr>
            </w:pPr>
            <w:r w:rsidRPr="00AB1631">
              <w:rPr>
                <w:rFonts w:ascii="Calibri" w:eastAsia="Times New Roman" w:hAnsi="Calibri" w:cs="Calibri"/>
                <w:color w:val="000000"/>
              </w:rPr>
              <w:t>Net Annual Ground Water Availability</w:t>
            </w:r>
          </w:p>
        </w:tc>
        <w:tc>
          <w:tcPr>
            <w:tcW w:w="772" w:type="dxa"/>
            <w:tcBorders>
              <w:top w:val="nil"/>
              <w:left w:val="nil"/>
              <w:bottom w:val="nil"/>
              <w:right w:val="nil"/>
            </w:tcBorders>
            <w:shd w:val="clear" w:color="auto" w:fill="auto"/>
            <w:noWrap/>
            <w:vAlign w:val="bottom"/>
            <w:hideMark/>
          </w:tcPr>
          <w:p w14:paraId="4DF6395B" w14:textId="77777777" w:rsidR="005A4A2A" w:rsidRPr="00AB1631" w:rsidRDefault="005A4A2A" w:rsidP="006566FB">
            <w:pPr>
              <w:spacing w:after="0" w:line="240" w:lineRule="auto"/>
              <w:jc w:val="right"/>
              <w:rPr>
                <w:rFonts w:ascii="Calibri" w:eastAsia="Times New Roman" w:hAnsi="Calibri" w:cs="Calibri"/>
                <w:color w:val="000000"/>
              </w:rPr>
            </w:pPr>
            <w:r w:rsidRPr="00AB1631">
              <w:rPr>
                <w:rFonts w:ascii="Calibri" w:eastAsia="Times New Roman" w:hAnsi="Calibri" w:cs="Calibri"/>
                <w:color w:val="000000"/>
              </w:rPr>
              <w:t>399</w:t>
            </w:r>
          </w:p>
        </w:tc>
        <w:tc>
          <w:tcPr>
            <w:tcW w:w="772" w:type="dxa"/>
            <w:tcBorders>
              <w:top w:val="nil"/>
              <w:left w:val="nil"/>
              <w:bottom w:val="nil"/>
              <w:right w:val="nil"/>
            </w:tcBorders>
            <w:shd w:val="clear" w:color="auto" w:fill="auto"/>
            <w:noWrap/>
            <w:vAlign w:val="bottom"/>
            <w:hideMark/>
          </w:tcPr>
          <w:p w14:paraId="7A034394" w14:textId="77777777" w:rsidR="005A4A2A" w:rsidRPr="00AB1631" w:rsidRDefault="005A4A2A" w:rsidP="006566FB">
            <w:pPr>
              <w:spacing w:after="0" w:line="240" w:lineRule="auto"/>
              <w:jc w:val="right"/>
              <w:rPr>
                <w:rFonts w:ascii="Calibri" w:eastAsia="Times New Roman" w:hAnsi="Calibri" w:cs="Calibri"/>
                <w:color w:val="000000"/>
              </w:rPr>
            </w:pPr>
            <w:r w:rsidRPr="00AB1631">
              <w:rPr>
                <w:rFonts w:ascii="Calibri" w:eastAsia="Times New Roman" w:hAnsi="Calibri" w:cs="Calibri"/>
                <w:color w:val="000000"/>
              </w:rPr>
              <w:t>396</w:t>
            </w:r>
          </w:p>
        </w:tc>
        <w:tc>
          <w:tcPr>
            <w:tcW w:w="960" w:type="dxa"/>
            <w:tcBorders>
              <w:top w:val="nil"/>
              <w:left w:val="nil"/>
              <w:bottom w:val="nil"/>
              <w:right w:val="nil"/>
            </w:tcBorders>
            <w:shd w:val="clear" w:color="auto" w:fill="auto"/>
            <w:noWrap/>
            <w:vAlign w:val="bottom"/>
            <w:hideMark/>
          </w:tcPr>
          <w:p w14:paraId="6A4477B4" w14:textId="77777777" w:rsidR="005A4A2A" w:rsidRPr="00AB1631" w:rsidRDefault="005A4A2A" w:rsidP="006566FB">
            <w:pPr>
              <w:spacing w:after="0" w:line="240" w:lineRule="auto"/>
              <w:jc w:val="right"/>
              <w:rPr>
                <w:rFonts w:ascii="Calibri" w:eastAsia="Times New Roman" w:hAnsi="Calibri" w:cs="Calibri"/>
                <w:color w:val="000000"/>
              </w:rPr>
            </w:pPr>
            <w:r w:rsidRPr="00AB1631">
              <w:rPr>
                <w:rFonts w:ascii="Calibri" w:eastAsia="Times New Roman" w:hAnsi="Calibri" w:cs="Calibri"/>
                <w:color w:val="000000"/>
              </w:rPr>
              <w:t>398</w:t>
            </w:r>
          </w:p>
        </w:tc>
        <w:tc>
          <w:tcPr>
            <w:tcW w:w="960" w:type="dxa"/>
            <w:tcBorders>
              <w:top w:val="nil"/>
              <w:left w:val="nil"/>
              <w:bottom w:val="nil"/>
              <w:right w:val="nil"/>
            </w:tcBorders>
            <w:shd w:val="clear" w:color="auto" w:fill="auto"/>
            <w:noWrap/>
            <w:vAlign w:val="bottom"/>
            <w:hideMark/>
          </w:tcPr>
          <w:p w14:paraId="5FB126CE" w14:textId="77777777" w:rsidR="005A4A2A" w:rsidRPr="00AB1631" w:rsidRDefault="005A4A2A" w:rsidP="006566FB">
            <w:pPr>
              <w:spacing w:after="0" w:line="240" w:lineRule="auto"/>
              <w:jc w:val="right"/>
              <w:rPr>
                <w:rFonts w:ascii="Calibri" w:eastAsia="Times New Roman" w:hAnsi="Calibri" w:cs="Calibri"/>
                <w:color w:val="000000"/>
              </w:rPr>
            </w:pPr>
            <w:r w:rsidRPr="00AB1631">
              <w:rPr>
                <w:rFonts w:ascii="Calibri" w:eastAsia="Times New Roman" w:hAnsi="Calibri" w:cs="Calibri"/>
                <w:color w:val="000000"/>
              </w:rPr>
              <w:t>411</w:t>
            </w:r>
          </w:p>
        </w:tc>
        <w:tc>
          <w:tcPr>
            <w:tcW w:w="960" w:type="dxa"/>
            <w:tcBorders>
              <w:top w:val="nil"/>
              <w:left w:val="nil"/>
              <w:bottom w:val="nil"/>
              <w:right w:val="nil"/>
            </w:tcBorders>
            <w:shd w:val="clear" w:color="auto" w:fill="auto"/>
            <w:noWrap/>
            <w:vAlign w:val="bottom"/>
            <w:hideMark/>
          </w:tcPr>
          <w:p w14:paraId="2A2A94B0" w14:textId="77777777" w:rsidR="005A4A2A" w:rsidRPr="00AB1631" w:rsidRDefault="005A4A2A" w:rsidP="006566FB">
            <w:pPr>
              <w:spacing w:after="0" w:line="240" w:lineRule="auto"/>
              <w:jc w:val="right"/>
              <w:rPr>
                <w:rFonts w:ascii="Calibri" w:eastAsia="Times New Roman" w:hAnsi="Calibri" w:cs="Calibri"/>
                <w:color w:val="000000"/>
              </w:rPr>
            </w:pPr>
            <w:r w:rsidRPr="00AB1631">
              <w:rPr>
                <w:rFonts w:ascii="Calibri" w:eastAsia="Times New Roman" w:hAnsi="Calibri" w:cs="Calibri"/>
                <w:color w:val="000000"/>
              </w:rPr>
              <w:t>393</w:t>
            </w:r>
          </w:p>
        </w:tc>
      </w:tr>
      <w:tr w:rsidR="005A4A2A" w:rsidRPr="00AB1631" w14:paraId="06962C0E" w14:textId="77777777" w:rsidTr="00401601">
        <w:trPr>
          <w:trHeight w:val="576"/>
        </w:trPr>
        <w:tc>
          <w:tcPr>
            <w:tcW w:w="328" w:type="dxa"/>
            <w:tcBorders>
              <w:top w:val="nil"/>
              <w:left w:val="nil"/>
              <w:bottom w:val="nil"/>
              <w:right w:val="nil"/>
            </w:tcBorders>
            <w:shd w:val="clear" w:color="auto" w:fill="auto"/>
            <w:noWrap/>
            <w:vAlign w:val="bottom"/>
            <w:hideMark/>
          </w:tcPr>
          <w:p w14:paraId="40285D43" w14:textId="77777777" w:rsidR="005A4A2A" w:rsidRPr="00AB1631" w:rsidRDefault="005A4A2A" w:rsidP="006566FB">
            <w:pPr>
              <w:spacing w:after="0" w:line="240" w:lineRule="auto"/>
              <w:jc w:val="right"/>
              <w:rPr>
                <w:rFonts w:ascii="Calibri" w:eastAsia="Times New Roman" w:hAnsi="Calibri" w:cs="Calibri"/>
                <w:color w:val="000000"/>
              </w:rPr>
            </w:pPr>
            <w:r w:rsidRPr="00AB1631">
              <w:rPr>
                <w:rFonts w:ascii="Calibri" w:eastAsia="Times New Roman" w:hAnsi="Calibri" w:cs="Calibri"/>
                <w:color w:val="000000"/>
              </w:rPr>
              <w:t>3</w:t>
            </w:r>
          </w:p>
        </w:tc>
        <w:tc>
          <w:tcPr>
            <w:tcW w:w="4488" w:type="dxa"/>
            <w:tcBorders>
              <w:top w:val="nil"/>
              <w:left w:val="nil"/>
              <w:bottom w:val="nil"/>
              <w:right w:val="nil"/>
            </w:tcBorders>
            <w:shd w:val="clear" w:color="auto" w:fill="auto"/>
            <w:vAlign w:val="bottom"/>
            <w:hideMark/>
          </w:tcPr>
          <w:p w14:paraId="678E9AE5" w14:textId="77777777" w:rsidR="005A4A2A" w:rsidRPr="00AB1631" w:rsidRDefault="005A4A2A" w:rsidP="006566FB">
            <w:pPr>
              <w:spacing w:after="0" w:line="240" w:lineRule="auto"/>
              <w:rPr>
                <w:rFonts w:ascii="Calibri" w:eastAsia="Times New Roman" w:hAnsi="Calibri" w:cs="Calibri"/>
                <w:color w:val="000000"/>
              </w:rPr>
            </w:pPr>
            <w:r w:rsidRPr="00AB1631">
              <w:rPr>
                <w:rFonts w:ascii="Calibri" w:eastAsia="Times New Roman" w:hAnsi="Calibri" w:cs="Calibri"/>
                <w:color w:val="000000"/>
              </w:rPr>
              <w:t>Annual Ground Water Draft for Irrigation, Domestic &amp; Industrial uses</w:t>
            </w:r>
          </w:p>
        </w:tc>
        <w:tc>
          <w:tcPr>
            <w:tcW w:w="772" w:type="dxa"/>
            <w:tcBorders>
              <w:top w:val="nil"/>
              <w:left w:val="nil"/>
              <w:bottom w:val="nil"/>
              <w:right w:val="nil"/>
            </w:tcBorders>
            <w:shd w:val="clear" w:color="auto" w:fill="auto"/>
            <w:noWrap/>
            <w:vAlign w:val="bottom"/>
            <w:hideMark/>
          </w:tcPr>
          <w:p w14:paraId="64D92EF0" w14:textId="77777777" w:rsidR="005A4A2A" w:rsidRPr="00AB1631" w:rsidRDefault="005A4A2A" w:rsidP="006566FB">
            <w:pPr>
              <w:spacing w:after="0" w:line="240" w:lineRule="auto"/>
              <w:jc w:val="right"/>
              <w:rPr>
                <w:rFonts w:ascii="Calibri" w:eastAsia="Times New Roman" w:hAnsi="Calibri" w:cs="Calibri"/>
                <w:color w:val="000000"/>
              </w:rPr>
            </w:pPr>
            <w:r w:rsidRPr="00AB1631">
              <w:rPr>
                <w:rFonts w:ascii="Calibri" w:eastAsia="Times New Roman" w:hAnsi="Calibri" w:cs="Calibri"/>
                <w:color w:val="000000"/>
              </w:rPr>
              <w:t>231</w:t>
            </w:r>
          </w:p>
        </w:tc>
        <w:tc>
          <w:tcPr>
            <w:tcW w:w="772" w:type="dxa"/>
            <w:tcBorders>
              <w:top w:val="nil"/>
              <w:left w:val="nil"/>
              <w:bottom w:val="nil"/>
              <w:right w:val="nil"/>
            </w:tcBorders>
            <w:shd w:val="clear" w:color="auto" w:fill="auto"/>
            <w:noWrap/>
            <w:vAlign w:val="bottom"/>
            <w:hideMark/>
          </w:tcPr>
          <w:p w14:paraId="7AEA8EAA" w14:textId="77777777" w:rsidR="005A4A2A" w:rsidRPr="00AB1631" w:rsidRDefault="005A4A2A" w:rsidP="006566FB">
            <w:pPr>
              <w:spacing w:after="0" w:line="240" w:lineRule="auto"/>
              <w:jc w:val="right"/>
              <w:rPr>
                <w:rFonts w:ascii="Calibri" w:eastAsia="Times New Roman" w:hAnsi="Calibri" w:cs="Calibri"/>
                <w:color w:val="000000"/>
              </w:rPr>
            </w:pPr>
            <w:r w:rsidRPr="00AB1631">
              <w:rPr>
                <w:rFonts w:ascii="Calibri" w:eastAsia="Times New Roman" w:hAnsi="Calibri" w:cs="Calibri"/>
                <w:color w:val="000000"/>
              </w:rPr>
              <w:t>243</w:t>
            </w:r>
          </w:p>
        </w:tc>
        <w:tc>
          <w:tcPr>
            <w:tcW w:w="960" w:type="dxa"/>
            <w:tcBorders>
              <w:top w:val="nil"/>
              <w:left w:val="nil"/>
              <w:bottom w:val="nil"/>
              <w:right w:val="nil"/>
            </w:tcBorders>
            <w:shd w:val="clear" w:color="auto" w:fill="auto"/>
            <w:noWrap/>
            <w:vAlign w:val="bottom"/>
            <w:hideMark/>
          </w:tcPr>
          <w:p w14:paraId="13701C07" w14:textId="77777777" w:rsidR="005A4A2A" w:rsidRPr="00AB1631" w:rsidRDefault="005A4A2A" w:rsidP="006566FB">
            <w:pPr>
              <w:spacing w:after="0" w:line="240" w:lineRule="auto"/>
              <w:jc w:val="right"/>
              <w:rPr>
                <w:rFonts w:ascii="Calibri" w:eastAsia="Times New Roman" w:hAnsi="Calibri" w:cs="Calibri"/>
                <w:color w:val="000000"/>
              </w:rPr>
            </w:pPr>
            <w:r w:rsidRPr="00AB1631">
              <w:rPr>
                <w:rFonts w:ascii="Calibri" w:eastAsia="Times New Roman" w:hAnsi="Calibri" w:cs="Calibri"/>
                <w:color w:val="000000"/>
              </w:rPr>
              <w:t>245</w:t>
            </w:r>
          </w:p>
        </w:tc>
        <w:tc>
          <w:tcPr>
            <w:tcW w:w="960" w:type="dxa"/>
            <w:tcBorders>
              <w:top w:val="nil"/>
              <w:left w:val="nil"/>
              <w:bottom w:val="nil"/>
              <w:right w:val="nil"/>
            </w:tcBorders>
            <w:shd w:val="clear" w:color="auto" w:fill="auto"/>
            <w:noWrap/>
            <w:vAlign w:val="bottom"/>
            <w:hideMark/>
          </w:tcPr>
          <w:p w14:paraId="4EEFED38" w14:textId="77777777" w:rsidR="005A4A2A" w:rsidRPr="00AB1631" w:rsidRDefault="005A4A2A" w:rsidP="006566FB">
            <w:pPr>
              <w:spacing w:after="0" w:line="240" w:lineRule="auto"/>
              <w:jc w:val="right"/>
              <w:rPr>
                <w:rFonts w:ascii="Calibri" w:eastAsia="Times New Roman" w:hAnsi="Calibri" w:cs="Calibri"/>
                <w:color w:val="000000"/>
              </w:rPr>
            </w:pPr>
            <w:r w:rsidRPr="00AB1631">
              <w:rPr>
                <w:rFonts w:ascii="Calibri" w:eastAsia="Times New Roman" w:hAnsi="Calibri" w:cs="Calibri"/>
                <w:color w:val="000000"/>
              </w:rPr>
              <w:t>253</w:t>
            </w:r>
          </w:p>
        </w:tc>
        <w:tc>
          <w:tcPr>
            <w:tcW w:w="960" w:type="dxa"/>
            <w:tcBorders>
              <w:top w:val="nil"/>
              <w:left w:val="nil"/>
              <w:bottom w:val="nil"/>
              <w:right w:val="nil"/>
            </w:tcBorders>
            <w:shd w:val="clear" w:color="auto" w:fill="auto"/>
            <w:noWrap/>
            <w:vAlign w:val="bottom"/>
            <w:hideMark/>
          </w:tcPr>
          <w:p w14:paraId="656C4B6B" w14:textId="77777777" w:rsidR="005A4A2A" w:rsidRPr="00AB1631" w:rsidRDefault="005A4A2A" w:rsidP="006566FB">
            <w:pPr>
              <w:spacing w:after="0" w:line="240" w:lineRule="auto"/>
              <w:jc w:val="right"/>
              <w:rPr>
                <w:rFonts w:ascii="Calibri" w:eastAsia="Times New Roman" w:hAnsi="Calibri" w:cs="Calibri"/>
                <w:color w:val="000000"/>
              </w:rPr>
            </w:pPr>
            <w:r w:rsidRPr="00AB1631">
              <w:rPr>
                <w:rFonts w:ascii="Calibri" w:eastAsia="Times New Roman" w:hAnsi="Calibri" w:cs="Calibri"/>
                <w:color w:val="000000"/>
              </w:rPr>
              <w:t>249</w:t>
            </w:r>
          </w:p>
        </w:tc>
      </w:tr>
      <w:tr w:rsidR="005A4A2A" w:rsidRPr="00AB1631" w14:paraId="308316BA" w14:textId="77777777" w:rsidTr="00401601">
        <w:trPr>
          <w:trHeight w:val="288"/>
        </w:trPr>
        <w:tc>
          <w:tcPr>
            <w:tcW w:w="328" w:type="dxa"/>
            <w:tcBorders>
              <w:top w:val="nil"/>
              <w:left w:val="nil"/>
              <w:bottom w:val="nil"/>
              <w:right w:val="nil"/>
            </w:tcBorders>
            <w:shd w:val="clear" w:color="auto" w:fill="auto"/>
            <w:noWrap/>
            <w:vAlign w:val="bottom"/>
            <w:hideMark/>
          </w:tcPr>
          <w:p w14:paraId="4A24C2F1" w14:textId="77777777" w:rsidR="005A4A2A" w:rsidRPr="00AB1631" w:rsidRDefault="005A4A2A" w:rsidP="006566FB">
            <w:pPr>
              <w:spacing w:after="0" w:line="240" w:lineRule="auto"/>
              <w:jc w:val="right"/>
              <w:rPr>
                <w:rFonts w:ascii="Calibri" w:eastAsia="Times New Roman" w:hAnsi="Calibri" w:cs="Calibri"/>
                <w:color w:val="000000"/>
              </w:rPr>
            </w:pPr>
            <w:r w:rsidRPr="00AB1631">
              <w:rPr>
                <w:rFonts w:ascii="Calibri" w:eastAsia="Times New Roman" w:hAnsi="Calibri" w:cs="Calibri"/>
                <w:color w:val="000000"/>
              </w:rPr>
              <w:t>4</w:t>
            </w:r>
          </w:p>
        </w:tc>
        <w:tc>
          <w:tcPr>
            <w:tcW w:w="4488" w:type="dxa"/>
            <w:tcBorders>
              <w:top w:val="nil"/>
              <w:left w:val="nil"/>
              <w:bottom w:val="nil"/>
              <w:right w:val="nil"/>
            </w:tcBorders>
            <w:shd w:val="clear" w:color="auto" w:fill="auto"/>
            <w:vAlign w:val="bottom"/>
            <w:hideMark/>
          </w:tcPr>
          <w:p w14:paraId="7F5777AE" w14:textId="77777777" w:rsidR="005A4A2A" w:rsidRPr="00AB1631" w:rsidRDefault="005A4A2A" w:rsidP="006566FB">
            <w:pPr>
              <w:spacing w:after="0" w:line="240" w:lineRule="auto"/>
              <w:rPr>
                <w:rFonts w:ascii="Calibri" w:eastAsia="Times New Roman" w:hAnsi="Calibri" w:cs="Calibri"/>
                <w:color w:val="000000"/>
              </w:rPr>
            </w:pPr>
            <w:r w:rsidRPr="00AB1631">
              <w:rPr>
                <w:rFonts w:ascii="Calibri" w:eastAsia="Times New Roman" w:hAnsi="Calibri" w:cs="Calibri"/>
                <w:color w:val="000000"/>
              </w:rPr>
              <w:t xml:space="preserve">Stage of Groundwater Development </w:t>
            </w:r>
          </w:p>
        </w:tc>
        <w:tc>
          <w:tcPr>
            <w:tcW w:w="772" w:type="dxa"/>
            <w:tcBorders>
              <w:top w:val="nil"/>
              <w:left w:val="nil"/>
              <w:bottom w:val="nil"/>
              <w:right w:val="nil"/>
            </w:tcBorders>
            <w:shd w:val="clear" w:color="auto" w:fill="auto"/>
            <w:noWrap/>
            <w:vAlign w:val="bottom"/>
            <w:hideMark/>
          </w:tcPr>
          <w:p w14:paraId="59975023" w14:textId="77777777" w:rsidR="005A4A2A" w:rsidRPr="00AB1631" w:rsidRDefault="005A4A2A" w:rsidP="006566FB">
            <w:pPr>
              <w:spacing w:after="0" w:line="240" w:lineRule="auto"/>
              <w:jc w:val="right"/>
              <w:rPr>
                <w:rFonts w:ascii="Calibri" w:eastAsia="Times New Roman" w:hAnsi="Calibri" w:cs="Calibri"/>
                <w:color w:val="000000"/>
              </w:rPr>
            </w:pPr>
            <w:r w:rsidRPr="00AB1631">
              <w:rPr>
                <w:rFonts w:ascii="Calibri" w:eastAsia="Times New Roman" w:hAnsi="Calibri" w:cs="Calibri"/>
                <w:color w:val="000000"/>
              </w:rPr>
              <w:t>58%</w:t>
            </w:r>
          </w:p>
        </w:tc>
        <w:tc>
          <w:tcPr>
            <w:tcW w:w="772" w:type="dxa"/>
            <w:tcBorders>
              <w:top w:val="nil"/>
              <w:left w:val="nil"/>
              <w:bottom w:val="nil"/>
              <w:right w:val="nil"/>
            </w:tcBorders>
            <w:shd w:val="clear" w:color="auto" w:fill="auto"/>
            <w:noWrap/>
            <w:vAlign w:val="bottom"/>
            <w:hideMark/>
          </w:tcPr>
          <w:p w14:paraId="1CEA275C" w14:textId="77777777" w:rsidR="005A4A2A" w:rsidRPr="00AB1631" w:rsidRDefault="005A4A2A" w:rsidP="006566FB">
            <w:pPr>
              <w:spacing w:after="0" w:line="240" w:lineRule="auto"/>
              <w:jc w:val="right"/>
              <w:rPr>
                <w:rFonts w:ascii="Calibri" w:eastAsia="Times New Roman" w:hAnsi="Calibri" w:cs="Calibri"/>
                <w:color w:val="000000"/>
              </w:rPr>
            </w:pPr>
            <w:r w:rsidRPr="00AB1631">
              <w:rPr>
                <w:rFonts w:ascii="Calibri" w:eastAsia="Times New Roman" w:hAnsi="Calibri" w:cs="Calibri"/>
                <w:color w:val="000000"/>
              </w:rPr>
              <w:t>61%</w:t>
            </w:r>
          </w:p>
        </w:tc>
        <w:tc>
          <w:tcPr>
            <w:tcW w:w="960" w:type="dxa"/>
            <w:tcBorders>
              <w:top w:val="nil"/>
              <w:left w:val="nil"/>
              <w:bottom w:val="nil"/>
              <w:right w:val="nil"/>
            </w:tcBorders>
            <w:shd w:val="clear" w:color="auto" w:fill="auto"/>
            <w:noWrap/>
            <w:vAlign w:val="bottom"/>
            <w:hideMark/>
          </w:tcPr>
          <w:p w14:paraId="5DF4A353" w14:textId="77777777" w:rsidR="005A4A2A" w:rsidRPr="00AB1631" w:rsidRDefault="005A4A2A" w:rsidP="006566FB">
            <w:pPr>
              <w:spacing w:after="0" w:line="240" w:lineRule="auto"/>
              <w:jc w:val="right"/>
              <w:rPr>
                <w:rFonts w:ascii="Calibri" w:eastAsia="Times New Roman" w:hAnsi="Calibri" w:cs="Calibri"/>
                <w:color w:val="000000"/>
              </w:rPr>
            </w:pPr>
            <w:r w:rsidRPr="00AB1631">
              <w:rPr>
                <w:rFonts w:ascii="Calibri" w:eastAsia="Times New Roman" w:hAnsi="Calibri" w:cs="Calibri"/>
                <w:color w:val="000000"/>
              </w:rPr>
              <w:t>62%</w:t>
            </w:r>
          </w:p>
        </w:tc>
        <w:tc>
          <w:tcPr>
            <w:tcW w:w="960" w:type="dxa"/>
            <w:tcBorders>
              <w:top w:val="nil"/>
              <w:left w:val="nil"/>
              <w:bottom w:val="nil"/>
              <w:right w:val="nil"/>
            </w:tcBorders>
            <w:shd w:val="clear" w:color="auto" w:fill="auto"/>
            <w:noWrap/>
            <w:vAlign w:val="bottom"/>
            <w:hideMark/>
          </w:tcPr>
          <w:p w14:paraId="0D2A9C1E" w14:textId="77777777" w:rsidR="005A4A2A" w:rsidRPr="00AB1631" w:rsidRDefault="005A4A2A" w:rsidP="006566FB">
            <w:pPr>
              <w:spacing w:after="0" w:line="240" w:lineRule="auto"/>
              <w:jc w:val="right"/>
              <w:rPr>
                <w:rFonts w:ascii="Calibri" w:eastAsia="Times New Roman" w:hAnsi="Calibri" w:cs="Calibri"/>
                <w:color w:val="000000"/>
              </w:rPr>
            </w:pPr>
            <w:r w:rsidRPr="00AB1631">
              <w:rPr>
                <w:rFonts w:ascii="Calibri" w:eastAsia="Times New Roman" w:hAnsi="Calibri" w:cs="Calibri"/>
                <w:color w:val="000000"/>
              </w:rPr>
              <w:t>62%</w:t>
            </w:r>
          </w:p>
        </w:tc>
        <w:tc>
          <w:tcPr>
            <w:tcW w:w="960" w:type="dxa"/>
            <w:tcBorders>
              <w:top w:val="nil"/>
              <w:left w:val="nil"/>
              <w:bottom w:val="nil"/>
              <w:right w:val="nil"/>
            </w:tcBorders>
            <w:shd w:val="clear" w:color="auto" w:fill="auto"/>
            <w:noWrap/>
            <w:vAlign w:val="bottom"/>
            <w:hideMark/>
          </w:tcPr>
          <w:p w14:paraId="36B3F321" w14:textId="77777777" w:rsidR="005A4A2A" w:rsidRPr="00AB1631" w:rsidRDefault="005A4A2A" w:rsidP="006566FB">
            <w:pPr>
              <w:spacing w:after="0" w:line="240" w:lineRule="auto"/>
              <w:jc w:val="right"/>
              <w:rPr>
                <w:rFonts w:ascii="Calibri" w:eastAsia="Times New Roman" w:hAnsi="Calibri" w:cs="Calibri"/>
                <w:color w:val="000000"/>
              </w:rPr>
            </w:pPr>
            <w:r w:rsidRPr="00AB1631">
              <w:rPr>
                <w:rFonts w:ascii="Calibri" w:eastAsia="Times New Roman" w:hAnsi="Calibri" w:cs="Calibri"/>
                <w:color w:val="000000"/>
              </w:rPr>
              <w:t>63%</w:t>
            </w:r>
          </w:p>
        </w:tc>
      </w:tr>
      <w:tr w:rsidR="005A4A2A" w:rsidRPr="00AB1631" w14:paraId="481E5BA4" w14:textId="77777777" w:rsidTr="006566FB">
        <w:trPr>
          <w:trHeight w:val="288"/>
        </w:trPr>
        <w:tc>
          <w:tcPr>
            <w:tcW w:w="9240" w:type="dxa"/>
            <w:gridSpan w:val="7"/>
            <w:tcBorders>
              <w:top w:val="nil"/>
              <w:left w:val="nil"/>
              <w:bottom w:val="nil"/>
              <w:right w:val="nil"/>
            </w:tcBorders>
            <w:shd w:val="clear" w:color="auto" w:fill="auto"/>
            <w:noWrap/>
            <w:vAlign w:val="bottom"/>
          </w:tcPr>
          <w:p w14:paraId="300B99F7" w14:textId="77777777" w:rsidR="005A4A2A" w:rsidRPr="00AB1631" w:rsidRDefault="005A4A2A" w:rsidP="006566FB">
            <w:pPr>
              <w:spacing w:after="0" w:line="240" w:lineRule="auto"/>
              <w:rPr>
                <w:rFonts w:ascii="Calibri" w:eastAsia="Times New Roman" w:hAnsi="Calibri" w:cs="Calibri"/>
                <w:color w:val="000000"/>
              </w:rPr>
            </w:pPr>
            <w:r>
              <w:rPr>
                <w:rFonts w:ascii="Calibri" w:eastAsia="Times New Roman" w:hAnsi="Calibri" w:cs="Calibri"/>
                <w:color w:val="000000"/>
              </w:rPr>
              <w:t xml:space="preserve">Source: Central Ground Water Board 2017  </w:t>
            </w:r>
          </w:p>
        </w:tc>
      </w:tr>
    </w:tbl>
    <w:p w14:paraId="58AD5D65" w14:textId="77777777" w:rsidR="00401601" w:rsidRDefault="00401601" w:rsidP="00401601">
      <w:pPr>
        <w:autoSpaceDE w:val="0"/>
        <w:autoSpaceDN w:val="0"/>
        <w:adjustRightInd w:val="0"/>
        <w:spacing w:after="0" w:line="240" w:lineRule="auto"/>
      </w:pPr>
      <w:r>
        <w:t xml:space="preserve">The inter-linkages between consumption of groundwater and its implications on food and energy resources have been identified by </w:t>
      </w:r>
      <w:r>
        <w:fldChar w:fldCharType="begin"/>
      </w:r>
      <w:r>
        <w:instrText xml:space="preserve"> ADDIN ZOTERO_ITEM CSL_CITATION {"citationID":"0Z8Aa9tR","properties":{"formattedCitation":"(Barik et al., 2017)","plainCitation":"(Barik et al., 2017)","noteIndex":0},"citationItems":[{"id":306,"uris":["http://zotero.org/users/local/LupjHtya/items/4NA5K4PN"],"uri":["http://zotero.org/users/local/LupjHtya/items/4NA5K4PN"],"itemData":{"id":306,"type":"article-journal","container-title":"Hydrology and Earth System Sciences","ISSN":"1027-5606","issue":"6","journalAbbreviation":"Hydrology and Earth System Sciences","note":"publisher: Copernicus GmbH","page":"3041-3060","title":"Water–food–energy nexus with changing agricultural scenarios in India during recent decades","volume":"21","author":[{"family":"Barik","given":"Beas"},{"family":"Ghosh","given":"Subimal"},{"family":"Sahana","given":"A Saheer"},{"family":"Pathak","given":"Amey"},{"family":"Sekhar","given":"Muddu"}],"issued":{"date-parts":[["2017"]]}}}],"schema":"https://github.com/citation-style-language/schema/raw/master/csl-citation.json"} </w:instrText>
      </w:r>
      <w:r>
        <w:fldChar w:fldCharType="separate"/>
      </w:r>
      <w:r w:rsidRPr="005F231F">
        <w:rPr>
          <w:rFonts w:ascii="Calibri" w:hAnsi="Calibri" w:cs="Calibri"/>
        </w:rPr>
        <w:t>(Barik et al., 2017)</w:t>
      </w:r>
      <w:r>
        <w:fldChar w:fldCharType="end"/>
      </w:r>
      <w:r>
        <w:t xml:space="preserve"> in the figure below.  </w:t>
      </w:r>
    </w:p>
    <w:p w14:paraId="0DE4DC20" w14:textId="77777777" w:rsidR="00401601" w:rsidRDefault="00401601" w:rsidP="00401601">
      <w:pPr>
        <w:autoSpaceDE w:val="0"/>
        <w:autoSpaceDN w:val="0"/>
        <w:adjustRightInd w:val="0"/>
        <w:spacing w:after="0" w:line="240" w:lineRule="auto"/>
      </w:pPr>
    </w:p>
    <w:p w14:paraId="1FDD6D20" w14:textId="77777777" w:rsidR="00401601" w:rsidRDefault="00401601" w:rsidP="00401601">
      <w:pPr>
        <w:autoSpaceDE w:val="0"/>
        <w:autoSpaceDN w:val="0"/>
        <w:adjustRightInd w:val="0"/>
        <w:spacing w:after="0" w:line="240" w:lineRule="auto"/>
      </w:pPr>
      <w:r>
        <w:t>Figure 1: Inter-linkages between water-food-energy in a changing climate</w:t>
      </w:r>
    </w:p>
    <w:p w14:paraId="0CB032A1" w14:textId="77777777" w:rsidR="00401601" w:rsidRDefault="00401601" w:rsidP="00401601">
      <w:pPr>
        <w:autoSpaceDE w:val="0"/>
        <w:autoSpaceDN w:val="0"/>
        <w:adjustRightInd w:val="0"/>
        <w:spacing w:after="0" w:line="240" w:lineRule="auto"/>
      </w:pPr>
    </w:p>
    <w:p w14:paraId="5E930156" w14:textId="77777777" w:rsidR="00401601" w:rsidRPr="001149C6" w:rsidRDefault="00401601" w:rsidP="00401601">
      <w:pPr>
        <w:autoSpaceDE w:val="0"/>
        <w:autoSpaceDN w:val="0"/>
        <w:adjustRightInd w:val="0"/>
        <w:spacing w:after="0" w:line="240" w:lineRule="auto"/>
      </w:pPr>
      <w:r>
        <w:rPr>
          <w:noProof/>
        </w:rPr>
        <w:lastRenderedPageBreak/>
        <w:drawing>
          <wp:inline distT="0" distB="0" distL="0" distR="0" wp14:anchorId="4D66EBE3" wp14:editId="0074428E">
            <wp:extent cx="5943600" cy="3921760"/>
            <wp:effectExtent l="19050" t="19050" r="19050" b="215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921760"/>
                    </a:xfrm>
                    <a:prstGeom prst="rect">
                      <a:avLst/>
                    </a:prstGeom>
                    <a:ln>
                      <a:solidFill>
                        <a:schemeClr val="tx1"/>
                      </a:solidFill>
                    </a:ln>
                  </pic:spPr>
                </pic:pic>
              </a:graphicData>
            </a:graphic>
          </wp:inline>
        </w:drawing>
      </w:r>
    </w:p>
    <w:p w14:paraId="48A71895" w14:textId="77777777" w:rsidR="00401601" w:rsidRDefault="00401601" w:rsidP="00401601">
      <w:pPr>
        <w:autoSpaceDE w:val="0"/>
        <w:autoSpaceDN w:val="0"/>
        <w:adjustRightInd w:val="0"/>
        <w:spacing w:after="0" w:line="240" w:lineRule="auto"/>
      </w:pPr>
      <w:r>
        <w:t xml:space="preserve">Source: Barik et.al., 2017 </w:t>
      </w:r>
    </w:p>
    <w:p w14:paraId="0FD3DCBC" w14:textId="77777777" w:rsidR="005A4A2A" w:rsidRPr="008B7062" w:rsidRDefault="005A4A2A" w:rsidP="00463562">
      <w:pPr>
        <w:tabs>
          <w:tab w:val="num" w:pos="720"/>
        </w:tabs>
        <w:autoSpaceDE w:val="0"/>
        <w:autoSpaceDN w:val="0"/>
        <w:adjustRightInd w:val="0"/>
        <w:spacing w:after="0" w:line="240" w:lineRule="auto"/>
        <w:rPr>
          <w:rFonts w:ascii="MinionPro-Regular" w:hAnsi="MinionPro-Regular" w:cs="MinionPro-Regular"/>
          <w:sz w:val="18"/>
          <w:szCs w:val="18"/>
        </w:rPr>
      </w:pPr>
    </w:p>
    <w:sectPr w:rsidR="005A4A2A" w:rsidRPr="008B706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F3AD8FC" w14:textId="77777777" w:rsidR="006E7DB7" w:rsidRDefault="006E7DB7" w:rsidP="00E23B59">
      <w:pPr>
        <w:spacing w:after="0" w:line="240" w:lineRule="auto"/>
      </w:pPr>
      <w:r>
        <w:separator/>
      </w:r>
    </w:p>
  </w:endnote>
  <w:endnote w:type="continuationSeparator" w:id="0">
    <w:p w14:paraId="50FC2BAB" w14:textId="77777777" w:rsidR="006E7DB7" w:rsidRDefault="006E7DB7" w:rsidP="00E23B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inionPro-Regular">
    <w:altName w:val="Cambria"/>
    <w:panose1 w:val="00000000000000000000"/>
    <w:charset w:val="00"/>
    <w:family w:val="roman"/>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D0BB755" w14:textId="77777777" w:rsidR="006E7DB7" w:rsidRDefault="006E7DB7" w:rsidP="00E23B59">
      <w:pPr>
        <w:spacing w:after="0" w:line="240" w:lineRule="auto"/>
      </w:pPr>
      <w:r>
        <w:separator/>
      </w:r>
    </w:p>
  </w:footnote>
  <w:footnote w:type="continuationSeparator" w:id="0">
    <w:p w14:paraId="49BE3747" w14:textId="77777777" w:rsidR="006E7DB7" w:rsidRDefault="006E7DB7" w:rsidP="00E23B59">
      <w:pPr>
        <w:spacing w:after="0" w:line="240" w:lineRule="auto"/>
      </w:pPr>
      <w:r>
        <w:continuationSeparator/>
      </w:r>
    </w:p>
  </w:footnote>
  <w:footnote w:id="1">
    <w:p w14:paraId="67D14E18" w14:textId="6C959910" w:rsidR="00AE7C36" w:rsidRDefault="00AE7C36">
      <w:pPr>
        <w:pStyle w:val="FootnoteText"/>
      </w:pPr>
      <w:r>
        <w:rPr>
          <w:rStyle w:val="FootnoteReference"/>
        </w:rPr>
        <w:footnoteRef/>
      </w:r>
      <w:r>
        <w:t xml:space="preserve"> </w:t>
      </w:r>
      <w:r w:rsidRPr="00AE7C36">
        <w:t>https://www.in2013dollars.com/us/inflation/2005?endYear=2017&amp;amount=20</w:t>
      </w:r>
    </w:p>
  </w:footnote>
  <w:footnote w:id="2">
    <w:p w14:paraId="5303CE6C" w14:textId="30C151EC" w:rsidR="004E43E5" w:rsidRDefault="004E43E5">
      <w:pPr>
        <w:pStyle w:val="FootnoteText"/>
      </w:pPr>
      <w:r>
        <w:rPr>
          <w:rStyle w:val="FootnoteReference"/>
        </w:rPr>
        <w:footnoteRef/>
      </w:r>
      <w:r>
        <w:t xml:space="preserve"> </w:t>
      </w:r>
      <w:r w:rsidRPr="004E43E5">
        <w:t>https://www.financialexpress.com/economy/cerc-calculates-fy19-average-power-price-at-rs-3-60-per-unit/1601276/</w:t>
      </w:r>
    </w:p>
  </w:footnote>
  <w:footnote w:id="3">
    <w:p w14:paraId="6D63655F" w14:textId="330E2861" w:rsidR="00F809CC" w:rsidRDefault="00F809CC">
      <w:pPr>
        <w:pStyle w:val="FootnoteText"/>
      </w:pPr>
      <w:r>
        <w:rPr>
          <w:rStyle w:val="FootnoteReference"/>
        </w:rPr>
        <w:footnoteRef/>
      </w:r>
      <w:r>
        <w:t xml:space="preserve"> </w:t>
      </w:r>
      <w:r w:rsidRPr="00F809CC">
        <w:t>https://www.statista.com/statistics/808201/india-cost-of-state-electricity-supply/</w:t>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663319C"/>
    <w:multiLevelType w:val="hybridMultilevel"/>
    <w:tmpl w:val="15305390"/>
    <w:lvl w:ilvl="0" w:tplc="EA22C0E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D97795F"/>
    <w:multiLevelType w:val="hybridMultilevel"/>
    <w:tmpl w:val="D728BCC6"/>
    <w:lvl w:ilvl="0" w:tplc="EBB639DA">
      <w:start w:val="1"/>
      <w:numFmt w:val="lowerRoman"/>
      <w:lvlText w:val="%1."/>
      <w:lvlJc w:val="left"/>
      <w:pPr>
        <w:ind w:left="1080" w:hanging="720"/>
      </w:pPr>
      <w:rPr>
        <w:rFonts w:asciiTheme="minorHAnsi" w:hAnsiTheme="minorHAnsi" w:cstheme="minorBidi"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5DE1457"/>
    <w:multiLevelType w:val="hybridMultilevel"/>
    <w:tmpl w:val="239C820E"/>
    <w:lvl w:ilvl="0" w:tplc="E61E97B2">
      <w:start w:val="1"/>
      <w:numFmt w:val="lowerRoman"/>
      <w:lvlText w:val="%1."/>
      <w:lvlJc w:val="left"/>
      <w:pPr>
        <w:ind w:left="1080" w:hanging="720"/>
      </w:pPr>
      <w:rPr>
        <w:rFonts w:asciiTheme="minorHAnsi" w:hAnsiTheme="minorHAnsi" w:cstheme="minorBidi"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9F356B3"/>
    <w:multiLevelType w:val="multilevel"/>
    <w:tmpl w:val="C8DE6F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6A384006"/>
    <w:multiLevelType w:val="hybridMultilevel"/>
    <w:tmpl w:val="DB8AD688"/>
    <w:lvl w:ilvl="0" w:tplc="3378E9A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2"/>
  </w:num>
  <w:num w:numId="4">
    <w:abstractNumId w:val="4"/>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B4D07"/>
    <w:rsid w:val="00004EED"/>
    <w:rsid w:val="00006A1D"/>
    <w:rsid w:val="000219F3"/>
    <w:rsid w:val="0002759C"/>
    <w:rsid w:val="00040F24"/>
    <w:rsid w:val="0005181A"/>
    <w:rsid w:val="00052E4A"/>
    <w:rsid w:val="00061DE6"/>
    <w:rsid w:val="00063686"/>
    <w:rsid w:val="0006436C"/>
    <w:rsid w:val="0007348C"/>
    <w:rsid w:val="00074076"/>
    <w:rsid w:val="000746B7"/>
    <w:rsid w:val="0008017A"/>
    <w:rsid w:val="000A18F5"/>
    <w:rsid w:val="000B4D07"/>
    <w:rsid w:val="000C0D8D"/>
    <w:rsid w:val="000C18AE"/>
    <w:rsid w:val="000C4942"/>
    <w:rsid w:val="000E47DD"/>
    <w:rsid w:val="000F4AE7"/>
    <w:rsid w:val="00102743"/>
    <w:rsid w:val="001149C6"/>
    <w:rsid w:val="00120375"/>
    <w:rsid w:val="001231E9"/>
    <w:rsid w:val="00141477"/>
    <w:rsid w:val="00142069"/>
    <w:rsid w:val="00142C6E"/>
    <w:rsid w:val="00151521"/>
    <w:rsid w:val="0017728E"/>
    <w:rsid w:val="0019067A"/>
    <w:rsid w:val="001A3571"/>
    <w:rsid w:val="001A6359"/>
    <w:rsid w:val="001B778B"/>
    <w:rsid w:val="001C3638"/>
    <w:rsid w:val="001C5D77"/>
    <w:rsid w:val="001C61D8"/>
    <w:rsid w:val="001E0FB0"/>
    <w:rsid w:val="001E3DF6"/>
    <w:rsid w:val="001F3E9A"/>
    <w:rsid w:val="00213FB9"/>
    <w:rsid w:val="002323EF"/>
    <w:rsid w:val="00233A43"/>
    <w:rsid w:val="00235FF6"/>
    <w:rsid w:val="002365E4"/>
    <w:rsid w:val="00240998"/>
    <w:rsid w:val="00250277"/>
    <w:rsid w:val="0025458D"/>
    <w:rsid w:val="00260831"/>
    <w:rsid w:val="00262A74"/>
    <w:rsid w:val="00263F11"/>
    <w:rsid w:val="002776E5"/>
    <w:rsid w:val="00281EAF"/>
    <w:rsid w:val="00283A37"/>
    <w:rsid w:val="00296920"/>
    <w:rsid w:val="002B287C"/>
    <w:rsid w:val="002B7471"/>
    <w:rsid w:val="002C193F"/>
    <w:rsid w:val="002C1B38"/>
    <w:rsid w:val="002E6F95"/>
    <w:rsid w:val="0030430B"/>
    <w:rsid w:val="00304978"/>
    <w:rsid w:val="00314CEE"/>
    <w:rsid w:val="00323862"/>
    <w:rsid w:val="00327C6D"/>
    <w:rsid w:val="00330C93"/>
    <w:rsid w:val="003362FA"/>
    <w:rsid w:val="00340FA0"/>
    <w:rsid w:val="00343616"/>
    <w:rsid w:val="00344199"/>
    <w:rsid w:val="00364A13"/>
    <w:rsid w:val="0036535F"/>
    <w:rsid w:val="00365C8A"/>
    <w:rsid w:val="003664A8"/>
    <w:rsid w:val="00372D9D"/>
    <w:rsid w:val="00377703"/>
    <w:rsid w:val="003814BB"/>
    <w:rsid w:val="00386B5E"/>
    <w:rsid w:val="00392C75"/>
    <w:rsid w:val="003974F0"/>
    <w:rsid w:val="003B3036"/>
    <w:rsid w:val="003C4D96"/>
    <w:rsid w:val="003D780A"/>
    <w:rsid w:val="003D7CF2"/>
    <w:rsid w:val="003E5E8B"/>
    <w:rsid w:val="003E6DA0"/>
    <w:rsid w:val="003F7849"/>
    <w:rsid w:val="00401601"/>
    <w:rsid w:val="00414885"/>
    <w:rsid w:val="00425D40"/>
    <w:rsid w:val="0043661D"/>
    <w:rsid w:val="00437FF2"/>
    <w:rsid w:val="00455C38"/>
    <w:rsid w:val="00455E41"/>
    <w:rsid w:val="00463562"/>
    <w:rsid w:val="00463DCC"/>
    <w:rsid w:val="004651AA"/>
    <w:rsid w:val="00470445"/>
    <w:rsid w:val="00473162"/>
    <w:rsid w:val="00482D5C"/>
    <w:rsid w:val="00493EBB"/>
    <w:rsid w:val="004C5112"/>
    <w:rsid w:val="004C6238"/>
    <w:rsid w:val="004D20DE"/>
    <w:rsid w:val="004D5F0F"/>
    <w:rsid w:val="004D7D20"/>
    <w:rsid w:val="004E0544"/>
    <w:rsid w:val="004E43E5"/>
    <w:rsid w:val="004F1E52"/>
    <w:rsid w:val="0050794B"/>
    <w:rsid w:val="00512775"/>
    <w:rsid w:val="00517C7B"/>
    <w:rsid w:val="00522BE5"/>
    <w:rsid w:val="00531933"/>
    <w:rsid w:val="00533144"/>
    <w:rsid w:val="005400F5"/>
    <w:rsid w:val="005453B5"/>
    <w:rsid w:val="00546FF3"/>
    <w:rsid w:val="005512E2"/>
    <w:rsid w:val="00557FA8"/>
    <w:rsid w:val="00566126"/>
    <w:rsid w:val="00574B59"/>
    <w:rsid w:val="00576247"/>
    <w:rsid w:val="00584943"/>
    <w:rsid w:val="005871C6"/>
    <w:rsid w:val="005A39D8"/>
    <w:rsid w:val="005A43C4"/>
    <w:rsid w:val="005A4A2A"/>
    <w:rsid w:val="005C354F"/>
    <w:rsid w:val="005E04EC"/>
    <w:rsid w:val="005F117D"/>
    <w:rsid w:val="005F231F"/>
    <w:rsid w:val="005F6957"/>
    <w:rsid w:val="00603598"/>
    <w:rsid w:val="00606288"/>
    <w:rsid w:val="00620A4C"/>
    <w:rsid w:val="00630DC2"/>
    <w:rsid w:val="0064388D"/>
    <w:rsid w:val="006656EE"/>
    <w:rsid w:val="0067628D"/>
    <w:rsid w:val="00677C80"/>
    <w:rsid w:val="00682A0F"/>
    <w:rsid w:val="00695A6A"/>
    <w:rsid w:val="00696711"/>
    <w:rsid w:val="00697569"/>
    <w:rsid w:val="006A0B24"/>
    <w:rsid w:val="006B25D4"/>
    <w:rsid w:val="006B573C"/>
    <w:rsid w:val="006B6FD7"/>
    <w:rsid w:val="006B7D67"/>
    <w:rsid w:val="006E5D68"/>
    <w:rsid w:val="006E7DB7"/>
    <w:rsid w:val="007006E0"/>
    <w:rsid w:val="00713BDB"/>
    <w:rsid w:val="0073442D"/>
    <w:rsid w:val="007367C6"/>
    <w:rsid w:val="007401AE"/>
    <w:rsid w:val="00740A22"/>
    <w:rsid w:val="00740B33"/>
    <w:rsid w:val="00740F25"/>
    <w:rsid w:val="00744768"/>
    <w:rsid w:val="007447D1"/>
    <w:rsid w:val="00744DE3"/>
    <w:rsid w:val="007459FC"/>
    <w:rsid w:val="00760DCA"/>
    <w:rsid w:val="00782166"/>
    <w:rsid w:val="00783C9C"/>
    <w:rsid w:val="00783D96"/>
    <w:rsid w:val="00786738"/>
    <w:rsid w:val="0079458C"/>
    <w:rsid w:val="007A1AF7"/>
    <w:rsid w:val="007A24B9"/>
    <w:rsid w:val="007A3665"/>
    <w:rsid w:val="007A38CA"/>
    <w:rsid w:val="007B325A"/>
    <w:rsid w:val="007B68E1"/>
    <w:rsid w:val="007C16D4"/>
    <w:rsid w:val="007C171A"/>
    <w:rsid w:val="007D0A48"/>
    <w:rsid w:val="007D105B"/>
    <w:rsid w:val="007D7CB2"/>
    <w:rsid w:val="007E0119"/>
    <w:rsid w:val="007F5993"/>
    <w:rsid w:val="007F612B"/>
    <w:rsid w:val="00803FCC"/>
    <w:rsid w:val="00820B2A"/>
    <w:rsid w:val="0082540E"/>
    <w:rsid w:val="00830073"/>
    <w:rsid w:val="00831939"/>
    <w:rsid w:val="00855333"/>
    <w:rsid w:val="00864047"/>
    <w:rsid w:val="00870DF0"/>
    <w:rsid w:val="00895DB3"/>
    <w:rsid w:val="008968EB"/>
    <w:rsid w:val="008A785E"/>
    <w:rsid w:val="008B7062"/>
    <w:rsid w:val="008C2B06"/>
    <w:rsid w:val="008F0940"/>
    <w:rsid w:val="008F66BB"/>
    <w:rsid w:val="00913149"/>
    <w:rsid w:val="009176E9"/>
    <w:rsid w:val="00923736"/>
    <w:rsid w:val="00925522"/>
    <w:rsid w:val="009309D7"/>
    <w:rsid w:val="00932DB4"/>
    <w:rsid w:val="00933179"/>
    <w:rsid w:val="0094495D"/>
    <w:rsid w:val="00945213"/>
    <w:rsid w:val="009468F7"/>
    <w:rsid w:val="00946D7F"/>
    <w:rsid w:val="00976211"/>
    <w:rsid w:val="00983F97"/>
    <w:rsid w:val="00991E64"/>
    <w:rsid w:val="00992ED4"/>
    <w:rsid w:val="00997434"/>
    <w:rsid w:val="009A0607"/>
    <w:rsid w:val="009A3E2B"/>
    <w:rsid w:val="009A6DA0"/>
    <w:rsid w:val="009B666F"/>
    <w:rsid w:val="009B69DE"/>
    <w:rsid w:val="009B7F3F"/>
    <w:rsid w:val="009C7DF6"/>
    <w:rsid w:val="009D0E57"/>
    <w:rsid w:val="009E2729"/>
    <w:rsid w:val="009E2CFD"/>
    <w:rsid w:val="009E3457"/>
    <w:rsid w:val="009E6386"/>
    <w:rsid w:val="009F6283"/>
    <w:rsid w:val="00A124B6"/>
    <w:rsid w:val="00A1510A"/>
    <w:rsid w:val="00A237E5"/>
    <w:rsid w:val="00A27616"/>
    <w:rsid w:val="00A3495B"/>
    <w:rsid w:val="00A36263"/>
    <w:rsid w:val="00A405A1"/>
    <w:rsid w:val="00A57F57"/>
    <w:rsid w:val="00A753B4"/>
    <w:rsid w:val="00A90DC2"/>
    <w:rsid w:val="00AA0064"/>
    <w:rsid w:val="00AB1631"/>
    <w:rsid w:val="00AC6D6A"/>
    <w:rsid w:val="00AD0DD5"/>
    <w:rsid w:val="00AE3F5E"/>
    <w:rsid w:val="00AE7C36"/>
    <w:rsid w:val="00B00B1A"/>
    <w:rsid w:val="00B01AC0"/>
    <w:rsid w:val="00B04FA6"/>
    <w:rsid w:val="00B1101E"/>
    <w:rsid w:val="00B14D7B"/>
    <w:rsid w:val="00B25ACB"/>
    <w:rsid w:val="00B5244B"/>
    <w:rsid w:val="00B570F4"/>
    <w:rsid w:val="00B5798E"/>
    <w:rsid w:val="00B6186D"/>
    <w:rsid w:val="00B62639"/>
    <w:rsid w:val="00B6557A"/>
    <w:rsid w:val="00B93114"/>
    <w:rsid w:val="00B952E7"/>
    <w:rsid w:val="00BA35A6"/>
    <w:rsid w:val="00BB1807"/>
    <w:rsid w:val="00BB268C"/>
    <w:rsid w:val="00BB3F7B"/>
    <w:rsid w:val="00BD6E4E"/>
    <w:rsid w:val="00BE7AF7"/>
    <w:rsid w:val="00C131E1"/>
    <w:rsid w:val="00C1487F"/>
    <w:rsid w:val="00C3676B"/>
    <w:rsid w:val="00C5032F"/>
    <w:rsid w:val="00C5422D"/>
    <w:rsid w:val="00C55619"/>
    <w:rsid w:val="00C665BD"/>
    <w:rsid w:val="00C6721C"/>
    <w:rsid w:val="00C73896"/>
    <w:rsid w:val="00C74882"/>
    <w:rsid w:val="00C77209"/>
    <w:rsid w:val="00C773B2"/>
    <w:rsid w:val="00C81DCD"/>
    <w:rsid w:val="00C8577F"/>
    <w:rsid w:val="00C900F9"/>
    <w:rsid w:val="00C92236"/>
    <w:rsid w:val="00CA0179"/>
    <w:rsid w:val="00CA741F"/>
    <w:rsid w:val="00CB4A13"/>
    <w:rsid w:val="00CB56AC"/>
    <w:rsid w:val="00CB72FD"/>
    <w:rsid w:val="00CD2474"/>
    <w:rsid w:val="00CD6118"/>
    <w:rsid w:val="00CE3075"/>
    <w:rsid w:val="00CE3946"/>
    <w:rsid w:val="00D00893"/>
    <w:rsid w:val="00D1217A"/>
    <w:rsid w:val="00D215C1"/>
    <w:rsid w:val="00D24EA8"/>
    <w:rsid w:val="00D27DED"/>
    <w:rsid w:val="00D30939"/>
    <w:rsid w:val="00D34084"/>
    <w:rsid w:val="00D34438"/>
    <w:rsid w:val="00D36791"/>
    <w:rsid w:val="00D56E97"/>
    <w:rsid w:val="00D65C55"/>
    <w:rsid w:val="00D76E72"/>
    <w:rsid w:val="00D801A8"/>
    <w:rsid w:val="00D84CAF"/>
    <w:rsid w:val="00D95BA8"/>
    <w:rsid w:val="00D9756A"/>
    <w:rsid w:val="00DB4352"/>
    <w:rsid w:val="00DC14CB"/>
    <w:rsid w:val="00DC66CA"/>
    <w:rsid w:val="00DD0277"/>
    <w:rsid w:val="00DD4FD1"/>
    <w:rsid w:val="00DD6730"/>
    <w:rsid w:val="00DE2835"/>
    <w:rsid w:val="00DE580E"/>
    <w:rsid w:val="00DE5A5C"/>
    <w:rsid w:val="00DE7127"/>
    <w:rsid w:val="00DE7244"/>
    <w:rsid w:val="00DF58A5"/>
    <w:rsid w:val="00E22B23"/>
    <w:rsid w:val="00E23B59"/>
    <w:rsid w:val="00E25E96"/>
    <w:rsid w:val="00E41729"/>
    <w:rsid w:val="00E5440F"/>
    <w:rsid w:val="00E544E9"/>
    <w:rsid w:val="00E56620"/>
    <w:rsid w:val="00E609F7"/>
    <w:rsid w:val="00E6237D"/>
    <w:rsid w:val="00E64E21"/>
    <w:rsid w:val="00E67D86"/>
    <w:rsid w:val="00E803DF"/>
    <w:rsid w:val="00E939F4"/>
    <w:rsid w:val="00E96F8F"/>
    <w:rsid w:val="00E97F39"/>
    <w:rsid w:val="00EA4EBE"/>
    <w:rsid w:val="00EB7BB5"/>
    <w:rsid w:val="00ED670B"/>
    <w:rsid w:val="00EE2FC5"/>
    <w:rsid w:val="00EF6323"/>
    <w:rsid w:val="00F06A98"/>
    <w:rsid w:val="00F21230"/>
    <w:rsid w:val="00F365A9"/>
    <w:rsid w:val="00F43B1A"/>
    <w:rsid w:val="00F445E0"/>
    <w:rsid w:val="00F51FFD"/>
    <w:rsid w:val="00F72DFF"/>
    <w:rsid w:val="00F809CC"/>
    <w:rsid w:val="00FC60D4"/>
    <w:rsid w:val="00FD02F9"/>
    <w:rsid w:val="00FE2BC2"/>
    <w:rsid w:val="00FF42C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E8E305"/>
  <w15:chartTrackingRefBased/>
  <w15:docId w15:val="{26A0EA35-F7AA-4703-8FAA-52D6DD823C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B7062"/>
    <w:pPr>
      <w:ind w:left="720"/>
      <w:contextualSpacing/>
    </w:pPr>
  </w:style>
  <w:style w:type="character" w:styleId="PlaceholderText">
    <w:name w:val="Placeholder Text"/>
    <w:basedOn w:val="DefaultParagraphFont"/>
    <w:uiPriority w:val="99"/>
    <w:semiHidden/>
    <w:rsid w:val="005F117D"/>
    <w:rPr>
      <w:color w:val="808080"/>
    </w:rPr>
  </w:style>
  <w:style w:type="paragraph" w:styleId="NormalWeb">
    <w:name w:val="Normal (Web)"/>
    <w:basedOn w:val="Normal"/>
    <w:uiPriority w:val="99"/>
    <w:semiHidden/>
    <w:unhideWhenUsed/>
    <w:rsid w:val="00D9756A"/>
    <w:rPr>
      <w:rFonts w:ascii="Times New Roman" w:hAnsi="Times New Roman" w:cs="Times New Roman"/>
      <w:sz w:val="24"/>
      <w:szCs w:val="24"/>
    </w:rPr>
  </w:style>
  <w:style w:type="character" w:styleId="Hyperlink">
    <w:name w:val="Hyperlink"/>
    <w:basedOn w:val="DefaultParagraphFont"/>
    <w:uiPriority w:val="99"/>
    <w:unhideWhenUsed/>
    <w:rsid w:val="00D9756A"/>
    <w:rPr>
      <w:color w:val="0563C1" w:themeColor="hyperlink"/>
      <w:u w:val="single"/>
    </w:rPr>
  </w:style>
  <w:style w:type="paragraph" w:styleId="FootnoteText">
    <w:name w:val="footnote text"/>
    <w:basedOn w:val="Normal"/>
    <w:link w:val="FootnoteTextChar"/>
    <w:uiPriority w:val="99"/>
    <w:semiHidden/>
    <w:unhideWhenUsed/>
    <w:rsid w:val="00E23B5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23B59"/>
    <w:rPr>
      <w:sz w:val="20"/>
      <w:szCs w:val="20"/>
    </w:rPr>
  </w:style>
  <w:style w:type="character" w:styleId="FootnoteReference">
    <w:name w:val="footnote reference"/>
    <w:basedOn w:val="DefaultParagraphFont"/>
    <w:uiPriority w:val="99"/>
    <w:semiHidden/>
    <w:unhideWhenUsed/>
    <w:rsid w:val="00E23B59"/>
    <w:rPr>
      <w:vertAlign w:val="superscript"/>
    </w:rPr>
  </w:style>
  <w:style w:type="paragraph" w:styleId="Bibliography">
    <w:name w:val="Bibliography"/>
    <w:basedOn w:val="Normal"/>
    <w:next w:val="Normal"/>
    <w:uiPriority w:val="37"/>
    <w:unhideWhenUsed/>
    <w:rsid w:val="002B7471"/>
    <w:pPr>
      <w:spacing w:after="0" w:line="480" w:lineRule="auto"/>
      <w:ind w:left="720" w:hanging="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47359971">
      <w:bodyDiv w:val="1"/>
      <w:marLeft w:val="0"/>
      <w:marRight w:val="0"/>
      <w:marTop w:val="0"/>
      <w:marBottom w:val="0"/>
      <w:divBdr>
        <w:top w:val="none" w:sz="0" w:space="0" w:color="auto"/>
        <w:left w:val="none" w:sz="0" w:space="0" w:color="auto"/>
        <w:bottom w:val="none" w:sz="0" w:space="0" w:color="auto"/>
        <w:right w:val="none" w:sz="0" w:space="0" w:color="auto"/>
      </w:divBdr>
      <w:divsChild>
        <w:div w:id="268246482">
          <w:blockQuote w:val="1"/>
          <w:marLeft w:val="0"/>
          <w:marRight w:val="0"/>
          <w:marTop w:val="225"/>
          <w:marBottom w:val="225"/>
          <w:divBdr>
            <w:top w:val="none" w:sz="0" w:space="0" w:color="auto"/>
            <w:left w:val="single" w:sz="24" w:space="11" w:color="DDDDDD"/>
            <w:bottom w:val="none" w:sz="0" w:space="0" w:color="auto"/>
            <w:right w:val="none" w:sz="0" w:space="0" w:color="auto"/>
          </w:divBdr>
        </w:div>
      </w:divsChild>
    </w:div>
    <w:div w:id="483552683">
      <w:bodyDiv w:val="1"/>
      <w:marLeft w:val="0"/>
      <w:marRight w:val="0"/>
      <w:marTop w:val="0"/>
      <w:marBottom w:val="0"/>
      <w:divBdr>
        <w:top w:val="none" w:sz="0" w:space="0" w:color="auto"/>
        <w:left w:val="none" w:sz="0" w:space="0" w:color="auto"/>
        <w:bottom w:val="none" w:sz="0" w:space="0" w:color="auto"/>
        <w:right w:val="none" w:sz="0" w:space="0" w:color="auto"/>
      </w:divBdr>
    </w:div>
    <w:div w:id="583225253">
      <w:bodyDiv w:val="1"/>
      <w:marLeft w:val="0"/>
      <w:marRight w:val="0"/>
      <w:marTop w:val="0"/>
      <w:marBottom w:val="0"/>
      <w:divBdr>
        <w:top w:val="none" w:sz="0" w:space="0" w:color="auto"/>
        <w:left w:val="none" w:sz="0" w:space="0" w:color="auto"/>
        <w:bottom w:val="none" w:sz="0" w:space="0" w:color="auto"/>
        <w:right w:val="none" w:sz="0" w:space="0" w:color="auto"/>
      </w:divBdr>
    </w:div>
    <w:div w:id="608781245">
      <w:bodyDiv w:val="1"/>
      <w:marLeft w:val="0"/>
      <w:marRight w:val="0"/>
      <w:marTop w:val="0"/>
      <w:marBottom w:val="0"/>
      <w:divBdr>
        <w:top w:val="none" w:sz="0" w:space="0" w:color="auto"/>
        <w:left w:val="none" w:sz="0" w:space="0" w:color="auto"/>
        <w:bottom w:val="none" w:sz="0" w:space="0" w:color="auto"/>
        <w:right w:val="none" w:sz="0" w:space="0" w:color="auto"/>
      </w:divBdr>
    </w:div>
    <w:div w:id="758334430">
      <w:bodyDiv w:val="1"/>
      <w:marLeft w:val="0"/>
      <w:marRight w:val="0"/>
      <w:marTop w:val="0"/>
      <w:marBottom w:val="0"/>
      <w:divBdr>
        <w:top w:val="none" w:sz="0" w:space="0" w:color="auto"/>
        <w:left w:val="none" w:sz="0" w:space="0" w:color="auto"/>
        <w:bottom w:val="none" w:sz="0" w:space="0" w:color="auto"/>
        <w:right w:val="none" w:sz="0" w:space="0" w:color="auto"/>
      </w:divBdr>
    </w:div>
    <w:div w:id="1317999260">
      <w:bodyDiv w:val="1"/>
      <w:marLeft w:val="0"/>
      <w:marRight w:val="0"/>
      <w:marTop w:val="0"/>
      <w:marBottom w:val="0"/>
      <w:divBdr>
        <w:top w:val="none" w:sz="0" w:space="0" w:color="auto"/>
        <w:left w:val="none" w:sz="0" w:space="0" w:color="auto"/>
        <w:bottom w:val="none" w:sz="0" w:space="0" w:color="auto"/>
        <w:right w:val="none" w:sz="0" w:space="0" w:color="auto"/>
      </w:divBdr>
    </w:div>
    <w:div w:id="1329675805">
      <w:bodyDiv w:val="1"/>
      <w:marLeft w:val="0"/>
      <w:marRight w:val="0"/>
      <w:marTop w:val="0"/>
      <w:marBottom w:val="0"/>
      <w:divBdr>
        <w:top w:val="none" w:sz="0" w:space="0" w:color="auto"/>
        <w:left w:val="none" w:sz="0" w:space="0" w:color="auto"/>
        <w:bottom w:val="none" w:sz="0" w:space="0" w:color="auto"/>
        <w:right w:val="none" w:sz="0" w:space="0" w:color="auto"/>
      </w:divBdr>
    </w:div>
    <w:div w:id="1489396039">
      <w:bodyDiv w:val="1"/>
      <w:marLeft w:val="0"/>
      <w:marRight w:val="0"/>
      <w:marTop w:val="0"/>
      <w:marBottom w:val="0"/>
      <w:divBdr>
        <w:top w:val="none" w:sz="0" w:space="0" w:color="auto"/>
        <w:left w:val="none" w:sz="0" w:space="0" w:color="auto"/>
        <w:bottom w:val="none" w:sz="0" w:space="0" w:color="auto"/>
        <w:right w:val="none" w:sz="0" w:space="0" w:color="auto"/>
      </w:divBdr>
      <w:divsChild>
        <w:div w:id="844780799">
          <w:blockQuote w:val="1"/>
          <w:marLeft w:val="0"/>
          <w:marRight w:val="0"/>
          <w:marTop w:val="225"/>
          <w:marBottom w:val="225"/>
          <w:divBdr>
            <w:top w:val="none" w:sz="0" w:space="0" w:color="auto"/>
            <w:left w:val="single" w:sz="24" w:space="11" w:color="DDDDDD"/>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D52E14-DAEA-41AD-858E-FFF3EE704C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5399</TotalTime>
  <Pages>16</Pages>
  <Words>12095</Words>
  <Characters>68942</Characters>
  <Application>Microsoft Office Word</Application>
  <DocSecurity>0</DocSecurity>
  <Lines>574</Lines>
  <Paragraphs>161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80876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Singh, Vartika (IFPRI-New Delhi)</dc:creator>
  <cp:keywords/>
  <dc:description/>
  <cp:lastModifiedBy>Singh, Vartika (IFPRI-New Delhi)</cp:lastModifiedBy>
  <cp:revision>143</cp:revision>
  <dcterms:created xsi:type="dcterms:W3CDTF">2021-02-24T13:57:00Z</dcterms:created>
  <dcterms:modified xsi:type="dcterms:W3CDTF">2021-05-11T09:04:00Z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zotero-version="5.0.96.2"&gt;&lt;session id="BIgsbX7V"/&gt;&lt;style id="http://www.zotero.org/styles/apa" locale="en-US" hasBibliography="1" bibliographyStyleHasBeenSet="1"/&gt;&lt;prefs&gt;&lt;pref name="fieldType" value="Field"/&gt;&lt;pref name="automaticJou</vt:lpwstr>
  </property>
  <property fmtid="{D5CDD505-2E9C-101B-9397-08002B2CF9AE}" pid="3" name="ZOTERO_PREF_2">
    <vt:lpwstr>rnalAbbreviations" value="true"/&gt;&lt;/prefs&gt;&lt;/data&gt;</vt:lpwstr>
  </property>
</Properties>
</file>