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578EDF" wp14:paraId="2D8F96E5" wp14:textId="744F031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578EDF" w:rsidR="37CE32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notice period is 60 days.</w:t>
      </w:r>
    </w:p>
    <w:p xmlns:wp14="http://schemas.microsoft.com/office/word/2010/wordml" w:rsidP="1E578EDF" wp14:paraId="745DDBFE" wp14:textId="4E35A7C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578EDF" w:rsidR="37CE32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ABC can charge for any damage in the goods only after a fair investigation report.</w:t>
      </w:r>
    </w:p>
    <w:p xmlns:wp14="http://schemas.microsoft.com/office/word/2010/wordml" wp14:paraId="2C078E63" wp14:textId="2207070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11683"/>
    <w:rsid w:val="1E578EDF"/>
    <w:rsid w:val="37CE3205"/>
    <w:rsid w:val="3A01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693B"/>
  <w15:chartTrackingRefBased/>
  <w15:docId w15:val="{1DB62391-A93C-41BA-AF74-DBDF6E4CD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2025-06-17T13:21:16.6836541Z</dcterms:created>
  <dcterms:modified xsi:type="dcterms:W3CDTF">2025-06-17T13:21:58.0570803Z</dcterms:modified>
  <dc:creator>Varun Sai</dc:creator>
  <lastModifiedBy>Varun Sai</lastModifiedBy>
</coreProperties>
</file>