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646E"/>
          <w:sz w:val="48"/>
        </w:rPr>
        <w:t>AI OPPORTUNITY REPORT</w:t>
      </w:r>
    </w:p>
    <w:p>
      <w:pPr>
        <w:jc w:val="center"/>
      </w:pPr>
      <w:r>
        <w:rPr>
          <w:i/>
        </w:rPr>
        <w:t>Cynbit Technologies | AI/ML Challenge | 20 October 2026</w:t>
      </w:r>
    </w:p>
    <w:p>
      <w:pPr>
        <w:pStyle w:val="Heading1"/>
      </w:pPr>
      <w:r>
        <w:t>Executive summary</w:t>
      </w:r>
    </w:p>
    <w:p>
      <w:r>
        <w:t>This report evaluates public information about Cynbit Technologies and proposes a practical AI opportunity: a Lead Intelligence &amp; Qualification Assistant for inbound business enquiries. The assistant would classify the likely service need, extract qualification signals, recommend a transparent priority, summarize why it reached that recommendation, and prepare a draft response for a human to approve. The included proof of concept is a working, rules-based baseline; it is not represented as a trained predictive model.</w:t>
      </w:r>
    </w:p>
    <w:p>
      <w:pPr>
        <w:pStyle w:val="Heading1"/>
      </w:pPr>
      <w:r>
        <w:t>1. Company and product context</w:t>
      </w:r>
    </w:p>
    <w:p>
      <w:r>
        <w:t>Cynbit Technologies describes itself as a Jaipur-based AI automation and software solutions company. Its public service pages describe autonomous AI agents, LLM automation, AI voice agents, full-stack development, backend systems, cloud infrastructure, CRM automation, performance marketing, and technical SEO. Its product ecosystem includes Cynbit Studio (AI-assisted coding, learning and career tools), TenantEase (property and tenant workflows), and Revio (review management, sentiment intelligence, and AI-assisted responses). The contact page invites prospects to submit company, industry, and project-message details. These public touchpoints make lead triage and routing a plausible workflow to investigate; they do not establish that the company currently has a manual or inefficient process.</w:t>
      </w:r>
    </w:p>
    <w:p>
      <w:pPr>
        <w:pStyle w:val="Heading1"/>
      </w:pPr>
      <w:r>
        <w:t>2. Business problem and opportunity hypothesis</w:t>
      </w:r>
    </w:p>
    <w:p>
      <w:r>
        <w:t>Hypothesis: as inbound enquiries span several service lines and products, a consistent first-pass triage system could help the team respond with relevant context, identify missing qualification information, and route enquiries to the right owner. This should be validated with Cynbit staff before implementation. The goal is not to replace sales judgment or auto-send generic messages; it is to reduce repetitive preparation while preserving human control.</w:t>
      </w:r>
    </w:p>
    <w:p>
      <w:pPr>
        <w:pStyle w:val="Heading1"/>
      </w:pPr>
      <w:r>
        <w:t>3. AI/ML opportunity landscape</w:t>
      </w:r>
    </w:p>
    <w:tbl>
      <w:tblPr>
        <w:tblStyle w:val="LightShading-Accent1"/>
        <w:tblW w:type="auto" w:w="0"/>
        <w:tblLook w:firstColumn="1" w:firstRow="1" w:lastColumn="0" w:lastRow="0" w:noHBand="0" w:noVBand="1" w:val="04A0"/>
      </w:tblPr>
      <w:tblGrid>
        <w:gridCol w:w="2484"/>
        <w:gridCol w:w="2484"/>
        <w:gridCol w:w="2484"/>
        <w:gridCol w:w="2484"/>
      </w:tblGrid>
      <w:tr>
        <w:tc>
          <w:tcPr>
            <w:tcW w:type="dxa" w:w="2484"/>
          </w:tcPr>
          <w:p>
            <w:r>
              <w:t>Opportunity</w:t>
            </w:r>
          </w:p>
        </w:tc>
        <w:tc>
          <w:tcPr>
            <w:tcW w:type="dxa" w:w="2484"/>
          </w:tcPr>
          <w:p>
            <w:r>
              <w:t>Business value</w:t>
            </w:r>
          </w:p>
        </w:tc>
        <w:tc>
          <w:tcPr>
            <w:tcW w:type="dxa" w:w="2484"/>
          </w:tcPr>
          <w:p>
            <w:r>
              <w:t>Complexity</w:t>
            </w:r>
          </w:p>
        </w:tc>
        <w:tc>
          <w:tcPr>
            <w:tcW w:type="dxa" w:w="2484"/>
          </w:tcPr>
          <w:p>
            <w:r>
              <w:t>Priority</w:t>
            </w:r>
          </w:p>
        </w:tc>
      </w:tr>
      <w:tr>
        <w:tc>
          <w:tcPr>
            <w:tcW w:type="dxa" w:w="2484"/>
          </w:tcPr>
          <w:p>
            <w:r>
              <w:t>Inbound lead intelligence &amp; qualification</w:t>
            </w:r>
          </w:p>
        </w:tc>
        <w:tc>
          <w:tcPr>
            <w:tcW w:type="dxa" w:w="2484"/>
          </w:tcPr>
          <w:p>
            <w:r>
              <w:t>Faster triage; more consistent routing; tailored follow-up</w:t>
            </w:r>
          </w:p>
        </w:tc>
        <w:tc>
          <w:tcPr>
            <w:tcW w:type="dxa" w:w="2484"/>
          </w:tcPr>
          <w:p>
            <w:r>
              <w:t>Medium</w:t>
            </w:r>
          </w:p>
        </w:tc>
        <w:tc>
          <w:tcPr>
            <w:tcW w:type="dxa" w:w="2484"/>
          </w:tcPr>
          <w:p>
            <w:r>
              <w:t>1 — Recommended</w:t>
            </w:r>
          </w:p>
        </w:tc>
      </w:tr>
      <w:tr>
        <w:tc>
          <w:tcPr>
            <w:tcW w:type="dxa" w:w="2484"/>
          </w:tcPr>
          <w:p>
            <w:r>
              <w:t>Revio review insight enrichment</w:t>
            </w:r>
          </w:p>
        </w:tc>
        <w:tc>
          <w:tcPr>
            <w:tcW w:type="dxa" w:w="2484"/>
          </w:tcPr>
          <w:p>
            <w:r>
              <w:t>Cluster themes, detect emerging complaints, summarize location trends</w:t>
            </w:r>
          </w:p>
        </w:tc>
        <w:tc>
          <w:tcPr>
            <w:tcW w:type="dxa" w:w="2484"/>
          </w:tcPr>
          <w:p>
            <w:r>
              <w:t>Medium–High</w:t>
            </w:r>
          </w:p>
        </w:tc>
        <w:tc>
          <w:tcPr>
            <w:tcW w:type="dxa" w:w="2484"/>
          </w:tcPr>
          <w:p>
            <w:r>
              <w:t>2</w:t>
            </w:r>
          </w:p>
        </w:tc>
      </w:tr>
      <w:tr>
        <w:tc>
          <w:tcPr>
            <w:tcW w:type="dxa" w:w="2484"/>
          </w:tcPr>
          <w:p>
            <w:r>
              <w:t>Cynbit Studio adaptive learning</w:t>
            </w:r>
          </w:p>
        </w:tc>
        <w:tc>
          <w:tcPr>
            <w:tcW w:type="dxa" w:w="2484"/>
          </w:tcPr>
          <w:p>
            <w:r>
              <w:t>Personalize next coding mission and feedback to learner skill gaps</w:t>
            </w:r>
          </w:p>
        </w:tc>
        <w:tc>
          <w:tcPr>
            <w:tcW w:type="dxa" w:w="2484"/>
          </w:tcPr>
          <w:p>
            <w:r>
              <w:t>High</w:t>
            </w:r>
          </w:p>
        </w:tc>
        <w:tc>
          <w:tcPr>
            <w:tcW w:type="dxa" w:w="2484"/>
          </w:tcPr>
          <w:p>
            <w:r>
              <w:t>3</w:t>
            </w:r>
          </w:p>
        </w:tc>
      </w:tr>
      <w:tr>
        <w:tc>
          <w:tcPr>
            <w:tcW w:type="dxa" w:w="2484"/>
          </w:tcPr>
          <w:p>
            <w:r>
              <w:t>TenantEase payment/occupancy forecasting</w:t>
            </w:r>
          </w:p>
        </w:tc>
        <w:tc>
          <w:tcPr>
            <w:tcW w:type="dxa" w:w="2484"/>
          </w:tcPr>
          <w:p>
            <w:r>
              <w:t>Earlier visibility into arrears and occupancy patterns</w:t>
            </w:r>
          </w:p>
        </w:tc>
        <w:tc>
          <w:tcPr>
            <w:tcW w:type="dxa" w:w="2484"/>
          </w:tcPr>
          <w:p>
            <w:r>
              <w:t>Medium–High</w:t>
            </w:r>
          </w:p>
        </w:tc>
        <w:tc>
          <w:tcPr>
            <w:tcW w:type="dxa" w:w="2484"/>
          </w:tcPr>
          <w:p>
            <w:r>
              <w:t>4</w:t>
            </w:r>
          </w:p>
        </w:tc>
      </w:tr>
      <w:tr>
        <w:tc>
          <w:tcPr>
            <w:tcW w:type="dxa" w:w="2484"/>
          </w:tcPr>
          <w:p>
            <w:r>
              <w:t>Internal knowledge assistant</w:t>
            </w:r>
          </w:p>
        </w:tc>
        <w:tc>
          <w:tcPr>
            <w:tcW w:type="dxa" w:w="2484"/>
          </w:tcPr>
          <w:p>
            <w:r>
              <w:t>Search approved SOPs, proposals, and engineering docs with citations</w:t>
            </w:r>
          </w:p>
        </w:tc>
        <w:tc>
          <w:tcPr>
            <w:tcW w:type="dxa" w:w="2484"/>
          </w:tcPr>
          <w:p>
            <w:r>
              <w:t>Medium</w:t>
            </w:r>
          </w:p>
        </w:tc>
        <w:tc>
          <w:tcPr>
            <w:tcW w:type="dxa" w:w="2484"/>
          </w:tcPr>
          <w:p>
            <w:r>
              <w:t>5</w:t>
            </w:r>
          </w:p>
        </w:tc>
      </w:tr>
    </w:tbl>
    <w:p>
      <w:r>
        <w:t>Prioritization is qualitative and based on apparent strategic fit, feasibility, and ability to demonstrate a contained pilot. No internal revenue, conversion, or workload data was available, so business impact is a hypothesis rather than a forecast.</w:t>
      </w:r>
    </w:p>
    <w:p>
      <w:pPr>
        <w:pStyle w:val="Heading1"/>
      </w:pPr>
      <w:r>
        <w:t>4. Recommended solution</w:t>
      </w:r>
    </w:p>
    <w:p>
      <w:r>
        <w:t>The Lead Intelligence Assistant is a decision-support layer that sits between a web form/email inbox and the CRM.</w:t>
      </w:r>
    </w:p>
    <w:p>
      <w:pPr>
        <w:pStyle w:val="ListBullet"/>
      </w:pPr>
      <w:r>
        <w:t>Ingest only approved enquiry fields: contact, company, industry, message, budget band, and timeline.</w:t>
      </w:r>
    </w:p>
    <w:p>
      <w:pPr>
        <w:pStyle w:val="ListBullet"/>
      </w:pPr>
      <w:r>
        <w:t>Normalize the text and identify the likely service/product area (for example, AI automation, software development, cloud, SEO/CRM, Studio, TenantEase, or Revio).</w:t>
      </w:r>
    </w:p>
    <w:p>
      <w:pPr>
        <w:pStyle w:val="ListBullet"/>
      </w:pPr>
      <w:r>
        <w:t>Extract buying signals and missing information; compute a transparent baseline score and priority.</w:t>
      </w:r>
    </w:p>
    <w:p>
      <w:pPr>
        <w:pStyle w:val="ListBullet"/>
      </w:pPr>
      <w:r>
        <w:t>Provide a short rationale and recommended next action so a human can audit the result.</w:t>
      </w:r>
    </w:p>
    <w:p>
      <w:pPr>
        <w:pStyle w:val="ListBullet"/>
      </w:pPr>
      <w:r>
        <w:t>Draft a personalized follow-up using only facts present in the enquiry and approved company information.</w:t>
      </w:r>
    </w:p>
    <w:p>
      <w:pPr>
        <w:pStyle w:val="ListBullet"/>
      </w:pPr>
      <w:r>
        <w:t>Require a staff member to approve routing and any external message.</w:t>
      </w:r>
    </w:p>
    <w:p>
      <w:pPr>
        <w:pStyle w:val="Heading1"/>
      </w:pPr>
      <w:r>
        <w:t>5. Expected value and success metrics</w:t>
      </w:r>
    </w:p>
    <w:p>
      <w:r>
        <w:t>The first pilot should establish a baseline before claiming ROI. Suggested measures: median time from enquiry receipt to first human response; time spent on initial triage; service-routing accuracy; percentage of drafts accepted with minor edits; qualification-field completeness; human override rate; and conversion to discovery call. Segment all metrics by service line and enquiry source. Set targets only after a two-week baseline and stakeholder agreement.</w:t>
      </w:r>
    </w:p>
    <w:p>
      <w:pPr>
        <w:pStyle w:val="Heading1"/>
      </w:pPr>
      <w:r>
        <w:t>6. Risks and safeguards</w:t>
      </w:r>
    </w:p>
    <w:p>
      <w:pPr>
        <w:pStyle w:val="ListBullet"/>
      </w:pPr>
      <w:r>
        <w:t>Incorrect routing or overconfident scoring: show rationale, allow overrides, and route low-confidence cases to humans.</w:t>
      </w:r>
    </w:p>
    <w:p>
      <w:pPr>
        <w:pStyle w:val="ListBullet"/>
      </w:pPr>
      <w:r>
        <w:t>Bias or proxy discrimination: do not score protected characteristics; audit scores and outcomes across relevant groups where lawful.</w:t>
      </w:r>
    </w:p>
    <w:p>
      <w:pPr>
        <w:pStyle w:val="ListBullet"/>
      </w:pPr>
      <w:r>
        <w:t>Hallucinated promises: constrain drafts to approved facts and the prospect's message; prohibit invented prices, delivery dates, guarantees, or case-study claims.</w:t>
      </w:r>
    </w:p>
    <w:p>
      <w:pPr>
        <w:pStyle w:val="ListBullet"/>
      </w:pPr>
      <w:r>
        <w:t>Privacy: minimize data, redact sensitive details, set retention limits, restrict access, and obtain appropriate consent/notice.</w:t>
      </w:r>
    </w:p>
    <w:p>
      <w:pPr>
        <w:pStyle w:val="ListBullet"/>
      </w:pPr>
      <w:r>
        <w:t>Automation mistakes: no autonomous sending, CRM writes, or commitments in the first pilot.</w:t>
      </w:r>
    </w:p>
    <w:p>
      <w:pPr>
        <w:pStyle w:val="ListBullet"/>
      </w:pPr>
      <w:r>
        <w:t>Data leakage: use approved hosting and vendor terms before sending prospect information to an external model.</w:t>
      </w:r>
    </w:p>
    <w:p>
      <w:pPr>
        <w:pStyle w:val="Heading1"/>
      </w:pPr>
      <w:r>
        <w:t>7. 30–60–90 day pilot roadmap</w:t>
      </w:r>
    </w:p>
    <w:p>
      <w:pPr>
        <w:pStyle w:val="ListBullet"/>
      </w:pPr>
      <w:r>
        <w:t>Days 1–30 — Discovery and baseline: interview sales/operations, map current workflow, define lead stages and routing taxonomy, review privacy/retention, measure baseline, and label a small historical dataset if approved.</w:t>
      </w:r>
    </w:p>
    <w:p>
      <w:pPr>
        <w:pStyle w:val="ListBullet"/>
      </w:pPr>
      <w:r>
        <w:t>Days 31–60 — Shadow pilot: run the assistant alongside staff without changing live routing. Compare recommendations with human decisions, inspect errors, and tune thresholds.</w:t>
      </w:r>
    </w:p>
    <w:p>
      <w:pPr>
        <w:pStyle w:val="ListBullet"/>
      </w:pPr>
      <w:r>
        <w:t>Days 61–90 — Controlled integration: integrate with the approved CRM/inbox, enable draft creation and human-approved routing, monitor quality and latency, document rollback, and review KPI results.</w:t>
      </w:r>
    </w:p>
    <w:p>
      <w:pPr>
        <w:pStyle w:val="Heading1"/>
      </w:pPr>
      <w:r>
        <w:t>8. Conclusion</w:t>
      </w:r>
    </w:p>
    <w:p>
      <w:r>
        <w:t>The opportunity is attractive because it aligns with Cynbit's stated capabilities in AI agents and CRM automation and can be tested without a costly model-training program. The recommended path is an explainable rules baseline first, followed by data-driven classification only if sufficient, representative historical data is available. The attached prototype demonstrates the core interaction and makes its limitations explicit.</w:t>
      </w:r>
    </w:p>
    <w:p>
      <w:pPr>
        <w:pStyle w:val="Heading1"/>
      </w:pPr>
      <w:r>
        <w:t>Public sources reviewed</w:t>
      </w:r>
    </w:p>
    <w:p>
      <w:pPr>
        <w:pStyle w:val="ListBullet"/>
      </w:pPr>
      <w:r>
        <w:rPr>
          <w:b/>
        </w:rPr>
        <w:t xml:space="preserve">Cynbit homepage: </w:t>
      </w:r>
      <w:r>
        <w:t>https://www.cynbit.in/</w:t>
      </w:r>
    </w:p>
    <w:p>
      <w:pPr>
        <w:pStyle w:val="ListBullet"/>
      </w:pPr>
      <w:r>
        <w:rPr>
          <w:b/>
        </w:rPr>
        <w:t xml:space="preserve">Cynbit services: </w:t>
      </w:r>
      <w:r>
        <w:t>https://www.cynbit.in/services</w:t>
      </w:r>
    </w:p>
    <w:p>
      <w:pPr>
        <w:pStyle w:val="ListBullet"/>
      </w:pPr>
      <w:r>
        <w:rPr>
          <w:b/>
        </w:rPr>
        <w:t xml:space="preserve">Cynbit products: </w:t>
      </w:r>
      <w:r>
        <w:t>https://www.cynbit.in/products</w:t>
      </w:r>
    </w:p>
    <w:p>
      <w:pPr>
        <w:pStyle w:val="ListBullet"/>
      </w:pPr>
      <w:r>
        <w:rPr>
          <w:b/>
        </w:rPr>
        <w:t xml:space="preserve">Cynbit contact page: </w:t>
      </w:r>
      <w:r>
        <w:t>https://www.cynbit.in/contact</w:t>
      </w:r>
    </w:p>
    <w:p>
      <w:pPr>
        <w:pStyle w:val="ListBullet"/>
      </w:pPr>
      <w:r>
        <w:rPr>
          <w:b/>
        </w:rPr>
        <w:t xml:space="preserve">Microsoft Learn — Sales Qualification Agent: </w:t>
      </w:r>
      <w:r>
        <w:t>https://learn.microsoft.com/en-us/dynamics365/sales/sales-qualification-agent</w:t>
      </w:r>
    </w:p>
    <w:p>
      <w:pPr>
        <w:pStyle w:val="ListBullet"/>
      </w:pPr>
      <w:r>
        <w:rPr>
          <w:b/>
        </w:rPr>
        <w:t xml:space="preserve">Salesforce — AI Lead Nurturing: </w:t>
      </w:r>
      <w:r>
        <w:t>https://www.salesforce.com/sales/engagement-platform/ai-lead-nurturing/</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32F3E"/>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646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646E"/>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0646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