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WEBSITE REVIEW — CONFIDENTIAL DRAFT FEEDBACK</w:t>
      </w:r>
    </w:p>
    <w:p>
      <w:pPr>
        <w:pStyle w:val="Title"/>
        <w:spacing w:after="300"/>
      </w:pPr>
      <w:r>
        <w:rPr>
          <w:b/>
          <w:bCs/>
          <w:color w:val="1F2A44"/>
          <w:sz w:val="34"/>
          <w:szCs w:val="34"/>
        </w:rPr>
        <w:t xml:space="preserve">Codezilla Teams: Making the Case Stronger for UK/US Buyers</w:t>
      </w:r>
    </w:p>
    <w:p>
      <w:pPr>
        <w:spacing w:after="160" w:line="300"/>
      </w:pPr>
      <w:r>
        <w:rPr>
          <w:color w:val="595959"/>
          <w:sz w:val="22"/>
          <w:szCs w:val="22"/>
        </w:rPr>
        <w:t xml:space="preserve">A few of us have hired through EOR and outsourcing agencies before, so this is written from the seat of a buyer weighing you up — not a marketing critique. The site already gets the core positioning right: flat-fee pricing instead of a percentage markup, and a real India specialism instead of a 150-country generalist platform. That's a genuinely good wedge. The gaps below are what stand between "interesting" and "I'd actually sign."</w:t>
      </w:r>
    </w:p>
    <w:p>
      <w:pPr>
        <w:pStyle w:val="Heading1"/>
        <w:pBdr>
          <w:bottom w:val="single" w:color="2E6F5E" w:sz="8" w:space="4"/>
        </w:pBdr>
        <w:spacing w:after="160" w:before="360"/>
      </w:pPr>
      <w:r>
        <w:rPr>
          <w:b/>
          <w:bCs/>
          <w:color w:val="1F2A44"/>
        </w:rPr>
        <w:t xml:space="preserve">1. The Trust Gaps</w:t>
      </w:r>
    </w:p>
    <w:p>
      <w:pPr>
        <w:spacing w:after="160" w:line="300"/>
      </w:pPr>
      <w:r>
        <w:rPr>
          <w:sz w:val="22"/>
          <w:szCs w:val="22"/>
        </w:rPr>
        <w:t xml:space="preserve">These are the things that make a buyer hesitate before they've even read your service detail — because none of it matters if they don't believe you're real and reliable first.</w:t>
      </w:r>
    </w:p>
    <w:p>
      <w:pPr>
        <w:pStyle w:val="Heading2"/>
        <w:spacing w:after="120" w:before="260"/>
      </w:pPr>
      <w:r>
        <w:rPr>
          <w:b/>
          <w:bCs/>
          <w:color w:val="2E6F5E"/>
        </w:rPr>
        <w:t xml:space="preserve">No named people</w:t>
      </w:r>
    </w:p>
    <w:p>
      <w:pPr>
        <w:spacing w:after="160" w:line="300"/>
      </w:pPr>
      <w:r>
        <w:rPr>
          <w:sz w:val="22"/>
          <w:szCs w:val="22"/>
        </w:rPr>
        <w:t xml:space="preserve">There's no founder, no leadership team, no LinkedIn links, no photos of the actual humans behind "senior Indore operators." For something as high-trust as becoming the legal employer of a colleague, anonymity is a real blocker. This is an easy, low-cost fix with outsized impact.</w:t>
      </w:r>
    </w:p>
    <w:p>
      <w:pPr>
        <w:pStyle w:val="Heading2"/>
        <w:spacing w:after="120" w:before="260"/>
      </w:pPr>
      <w:r>
        <w:rPr>
          <w:b/>
          <w:bCs/>
          <w:color w:val="2E6F5E"/>
        </w:rPr>
        <w:t xml:space="preserve">Zero social proof</w:t>
      </w:r>
    </w:p>
    <w:p>
      <w:pPr>
        <w:spacing w:after="160" w:line="300"/>
      </w:pPr>
      <w:r>
        <w:rPr>
          <w:sz w:val="22"/>
          <w:szCs w:val="22"/>
        </w:rPr>
        <w:t xml:space="preserve">"Trusted by high-growth startups, scale-ups &amp; global enterprises" currently has nothing behind it — no logos, no client count, no testimonial, no case study, no independent reviews (Trustpilot, G2, Clutch). This is the single highest-leverage gap on the entire site.</w:t>
      </w:r>
    </w:p>
    <w:p>
      <w:pPr>
        <w:pStyle w:val="Heading2"/>
        <w:spacing w:after="120" w:before="260"/>
      </w:pPr>
      <w:r>
        <w:rPr>
          <w:b/>
          <w:bCs/>
          <w:color w:val="2E6F5E"/>
        </w:rPr>
        <w:t xml:space="preserve">No legal entity detail</w:t>
      </w:r>
    </w:p>
    <w:p>
      <w:pPr>
        <w:spacing w:after="160" w:line="300"/>
      </w:pPr>
      <w:r>
        <w:rPr>
          <w:sz w:val="22"/>
          <w:szCs w:val="22"/>
        </w:rPr>
        <w:t xml:space="preserve">Which registered Indian entity actually signs the employment contracts? A buyer doing basic diligence will look for a company registration number and registered address in about five minutes — right now there's nothing to find.</w:t>
      </w:r>
    </w:p>
    <w:p>
      <w:pPr>
        <w:pStyle w:val="Heading2"/>
        <w:spacing w:after="120" w:before="260"/>
      </w:pPr>
      <w:r>
        <w:rPr>
          <w:b/>
          <w:bCs/>
          <w:color w:val="2E6F5E"/>
        </w:rPr>
        <w:t xml:space="preserve">No compliance or security certification</w:t>
      </w:r>
    </w:p>
    <w:p>
      <w:pPr>
        <w:spacing w:after="160" w:line="300"/>
      </w:pPr>
      <w:r>
        <w:rPr>
          <w:sz w:val="22"/>
          <w:szCs w:val="22"/>
        </w:rPr>
        <w:t xml:space="preserve">You're pitching FinTech, HealthTech and Banking as target verticals — those buyers will specifically ask about ISO 27001, SOC 2, or at minimum a data processing agreement and GDPR/UK-GDPR posture for handling employee data. Leaving this out entirely could be disqualifying for exactly the industries you're targeting.</w:t>
      </w:r>
    </w:p>
    <w:p>
      <w:pPr>
        <w:pStyle w:val="Heading1"/>
        <w:pBdr>
          <w:bottom w:val="single" w:color="2E6F5E" w:sz="8" w:space="4"/>
        </w:pBdr>
        <w:spacing w:after="160" w:before="360"/>
      </w:pPr>
      <w:r>
        <w:rPr>
          <w:b/>
          <w:bCs/>
          <w:color w:val="1F2A44"/>
        </w:rPr>
        <w:t xml:space="preserve">2. The Commercial Clarity Gaps</w:t>
      </w:r>
    </w:p>
    <w:p>
      <w:pPr>
        <w:pStyle w:val="Heading2"/>
        <w:spacing w:after="120" w:before="260"/>
      </w:pPr>
      <w:r>
        <w:rPr>
          <w:b/>
          <w:bCs/>
          <w:color w:val="2E6F5E"/>
        </w:rPr>
        <w:t xml:space="preserve">No actual pricing</w:t>
      </w:r>
    </w:p>
    <w:p>
      <w:pPr>
        <w:spacing w:after="160" w:line="300"/>
      </w:pPr>
      <w:r>
        <w:rPr>
          <w:sz w:val="22"/>
          <w:szCs w:val="22"/>
        </w:rPr>
        <w:t xml:space="preserve">"Flat monthly fee" is repeated throughout the site, but there's no number, range, or even a "from $X/month" anchor anywhere. A lot of buyers will simply bounce rather than fill out a form to find out. Even a rough band by headcount tier would let people self-qualify before they engage.</w:t>
      </w:r>
    </w:p>
    <w:p>
      <w:pPr>
        <w:pStyle w:val="Heading2"/>
        <w:spacing w:after="120" w:before="260"/>
      </w:pPr>
      <w:r>
        <w:rPr>
          <w:b/>
          <w:bCs/>
          <w:color w:val="2E6F5E"/>
        </w:rPr>
        <w:t xml:space="preserve">No detail on minimum term, notice period, or exit fees</w:t>
      </w:r>
    </w:p>
    <w:p>
      <w:pPr>
        <w:spacing w:after="160" w:line="300"/>
      </w:pPr>
      <w:r>
        <w:rPr>
          <w:sz w:val="22"/>
          <w:szCs w:val="22"/>
        </w:rPr>
        <w:t xml:space="preserve">This is the one I'd push hardest on. Having reviewed EOR and outsourcing agreements myself, the things that actually bite are never the headline fee — they're the small print: what happens if the contract ends early, what it costs to transition an employee to your own future entity, and whether there's any non-solicitation or non-circumvention clause restricting a client from hiring the person directly later. There's a "Workforce Expansion &amp; Subsidiary Transition" section already, but no detail on cost, notice, or whether a transition fee applies. A buyer who's been burned before will go looking for exactly this — its total absence reads as either naive or evasive.</w:t>
      </w:r>
    </w:p>
    <w:p>
      <w:pPr>
        <w:pStyle w:val="Heading2"/>
        <w:spacing w:after="120" w:before="260"/>
      </w:pPr>
      <w:r>
        <w:rPr>
          <w:b/>
          <w:bCs/>
          <w:color w:val="2E6F5E"/>
        </w:rPr>
        <w:t xml:space="preserve">No FX detail</w:t>
      </w:r>
    </w:p>
    <w:p>
      <w:pPr>
        <w:spacing w:after="160" w:line="300"/>
      </w:pPr>
      <w:r>
        <w:rPr>
          <w:sz w:val="22"/>
          <w:szCs w:val="22"/>
        </w:rPr>
        <w:t xml:space="preserve">Invoicing in USD, GBP or EUR is mentioned, but not what exchange rate is used, whether there's a markup, or how often it's recalculated. Small point, but leaving it vague slightly undercuts the "100% transparent" claim.</w:t>
      </w:r>
    </w:p>
    <w:p>
      <w:pPr>
        <w:pStyle w:val="Heading1"/>
        <w:pBdr>
          <w:bottom w:val="single" w:color="2E6F5E" w:sz="8" w:space="4"/>
        </w:pBdr>
        <w:spacing w:after="160" w:before="360"/>
      </w:pPr>
      <w:r>
        <w:rPr>
          <w:b/>
          <w:bCs/>
          <w:color w:val="1F2A44"/>
        </w:rPr>
        <w:t xml:space="preserve">3. The Legal &amp; Liability Clarity Gaps</w:t>
      </w:r>
    </w:p>
    <w:p>
      <w:pPr>
        <w:pStyle w:val="ListParagraph"/>
        <w:numPr>
          <w:ilvl w:val="0"/>
          <w:numId w:val="2"/>
        </w:numPr>
        <w:spacing w:after="100"/>
      </w:pPr>
      <w:r>
        <w:t xml:space="preserve">Who is actually liable in a labour dispute or termination challenge — you or the client? This is the core value an EOR sells (taking on employment risk) and it's implied but never stated outright.</w:t>
      </w:r>
    </w:p>
    <w:p>
      <w:pPr>
        <w:pStyle w:val="ListParagraph"/>
        <w:numPr>
          <w:ilvl w:val="0"/>
          <w:numId w:val="2"/>
        </w:numPr>
        <w:spacing w:after="100"/>
      </w:pPr>
      <w:r>
        <w:t xml:space="preserve">No mention of professional indemnity or liability insurance.</w:t>
      </w:r>
    </w:p>
    <w:p>
      <w:pPr>
        <w:pStyle w:val="ListParagraph"/>
        <w:numPr>
          <w:ilvl w:val="0"/>
          <w:numId w:val="2"/>
        </w:numPr>
        <w:spacing w:after="100"/>
      </w:pPr>
      <w:r>
        <w:t xml:space="preserve">No sample contract, redacted onboarding pack, or one-page PDF a buyer could take into their own internal review before a sales call. Right now every real detail requires booking time first, which adds friction for someone just trying to build an internal business case.</w:t>
      </w:r>
    </w:p>
    <w:p>
      <w:pPr>
        <w:pStyle w:val="Heading1"/>
        <w:pBdr>
          <w:bottom w:val="single" w:color="2E6F5E" w:sz="8" w:space="4"/>
        </w:pBdr>
        <w:spacing w:after="160" w:before="360"/>
      </w:pPr>
      <w:r>
        <w:rPr>
          <w:b/>
          <w:bCs/>
          <w:color w:val="1F2A44"/>
        </w:rPr>
        <w:t xml:space="preserve">4. If This Lands as a Cold Email, Not a Site Visit</w:t>
      </w:r>
    </w:p>
    <w:p>
      <w:pPr>
        <w:spacing w:after="160" w:line="300"/>
      </w:pPr>
      <w:r>
        <w:rPr>
          <w:sz w:val="22"/>
          <w:szCs w:val="22"/>
        </w:rPr>
        <w:t xml:space="preserve">A lot of your leads probably won't arrive by finding the site — they'll get a cold email that mentions EOR in passing. That's a different psychology, and it's worth thinking about separately from the website itself, since the two need to work together.</w:t>
      </w:r>
    </w:p>
    <w:p>
      <w:pPr>
        <w:pStyle w:val="ListParagraph"/>
        <w:numPr>
          <w:ilvl w:val="0"/>
          <w:numId w:val="2"/>
        </w:numPr>
        <w:spacing w:after="100"/>
      </w:pPr>
      <w:r>
        <w:t xml:space="preserve">Is this really EOR, or outsourcing dressed up in EOR language? A lot of cold outreach blurs "we're your legal employer, you choose the person" with "we supply you a person from our bench" because it sounds more credible. Make the distinction unmistakable in the first two lines.</w:t>
      </w:r>
    </w:p>
    <w:p>
      <w:pPr>
        <w:pStyle w:val="ListParagraph"/>
        <w:numPr>
          <w:ilvl w:val="0"/>
          <w:numId w:val="2"/>
        </w:numPr>
        <w:spacing w:after="100"/>
      </w:pPr>
      <w:r>
        <w:t xml:space="preserve">Why is this landing in my inbox specifically? Generic mass outreach ("Dear Founder, are you hiring in India?") signals spray-and-pray and undercuts trust in everything that follows.</w:t>
      </w:r>
    </w:p>
    <w:p>
      <w:pPr>
        <w:pStyle w:val="ListParagraph"/>
        <w:numPr>
          <w:ilvl w:val="0"/>
          <w:numId w:val="2"/>
        </w:numPr>
        <w:spacing w:after="100"/>
      </w:pPr>
      <w:r>
        <w:t xml:space="preserve">Can I verify you exist without talking to you? A verifiable registration, a real company LinkedIn page with actual headcount and history, and independent reviews all do work here that self-reported claims can't.</w:t>
      </w:r>
    </w:p>
    <w:p>
      <w:pPr>
        <w:pStyle w:val="ListParagraph"/>
        <w:numPr>
          <w:ilvl w:val="0"/>
          <w:numId w:val="2"/>
        </w:numPr>
        <w:spacing w:after="100"/>
      </w:pPr>
      <w:r>
        <w:t xml:space="preserve">What's the catch behind "flat fee, no hidden costs"? Every cold pitch says this. A skeptical buyer will specifically hunt for the minimum term, cancellation notice, and any fee tied to leaving — see Section 2.</w:t>
      </w:r>
    </w:p>
    <w:p>
      <w:pPr>
        <w:pStyle w:val="ListParagraph"/>
        <w:numPr>
          <w:ilvl w:val="0"/>
          <w:numId w:val="2"/>
        </w:numPr>
        <w:spacing w:after="100"/>
      </w:pPr>
      <w:r>
        <w:t xml:space="preserve">Is this a sales funnel disguised as information? Cold outreach that only offers a "free consultation" as the entry point, with real terms appearing only after the buyer is emotionally invested in a call, reads as evasive. Offering a sample contract or pricing sheet without a call first is a stronger trust signal.</w:t>
      </w:r>
    </w:p>
    <w:p>
      <w:pPr>
        <w:pStyle w:val="ListParagraph"/>
        <w:numPr>
          <w:ilvl w:val="0"/>
          <w:numId w:val="2"/>
        </w:numPr>
        <w:spacing w:after="100"/>
      </w:pPr>
      <w:r>
        <w:t xml:space="preserve">What happens to my data the moment I reply? Candidate details, salary bands, sometimes personal data get shared before any contract exists — a data handling stance stated up front, before that first reply, matters more here than almost anywhere else in the funnel.</w:t>
      </w:r>
    </w:p>
    <w:p>
      <w:pPr>
        <w:pStyle w:val="Heading1"/>
        <w:pBdr>
          <w:bottom w:val="single" w:color="2E6F5E" w:sz="8" w:space="4"/>
        </w:pBdr>
        <w:spacing w:after="160" w:before="360"/>
      </w:pPr>
      <w:r>
        <w:rPr>
          <w:b/>
          <w:bCs/>
          <w:color w:val="1F2A44"/>
        </w:rPr>
        <w:t xml:space="preserve">5. The Real Wedge: "We're Not Another Outsourcing Agency"</w:t>
      </w:r>
    </w:p>
    <w:p>
      <w:pPr>
        <w:spacing w:after="160" w:line="300"/>
      </w:pPr>
      <w:r>
        <w:rPr>
          <w:sz w:val="22"/>
          <w:szCs w:val="22"/>
        </w:rPr>
        <w:t xml:space="preserve">This is the single biggest opportunity on the site, and it's currently underused. Most of your buyers have already had a bad experience with an outsourcing agency, and the difference between that and genuine EOR isn't legal structure — it's exclusivity and allegiance.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F5E" w:sz="4"/>
              <w:left w:val="single" w:color="2E6F5E" w:sz="24"/>
              <w:bottom w:val="single" w:color="2E6F5E" w:sz="4"/>
              <w:right w:val="single" w:color="FFFFFF" w:sz="4"/>
            </w:tcBorders>
            <w:shd w:fill="F2F5F4" w:val="clear"/>
            <w:tcMar>
              <w:top w:type="dxa" w:w="200"/>
              <w:left w:type="dxa" w:w="240"/>
              <w:bottom w:type="dxa" w:w="200"/>
              <w:right w:type="dxa" w:w="240"/>
            </w:tcMar>
          </w:tcPr>
          <w:p>
            <w:r>
              <w:rPr>
                <w:i/>
                <w:iCs/>
                <w:color w:val="1F2A44"/>
                <w:sz w:val="22"/>
                <w:szCs w:val="22"/>
              </w:rPr>
              <w:t xml:space="preserve">Agencies sell you capacity. EOR sells you a team member. Every piece of proof on the site should reinforce that this person is yours in every way that matters, and the legal wrapper is invisible infrastructure in the background.</w:t>
            </w:r>
          </w:p>
        </w:tc>
      </w:tr>
    </w:tbl>
    <w:p>
      <w:pPr>
        <w:pStyle w:val="Heading2"/>
        <w:spacing w:after="120" w:before="260"/>
      </w:pPr>
      <w:r>
        <w:rPr>
          <w:b/>
          <w:bCs/>
          <w:color w:val="2E6F5E"/>
        </w:rPr>
        <w:t xml:space="preserve">An agency worker</w:t>
      </w:r>
    </w:p>
    <w:p>
      <w:pPr>
        <w:spacing w:after="160" w:line="300"/>
      </w:pPr>
      <w:r>
        <w:rPr>
          <w:sz w:val="22"/>
          <w:szCs w:val="22"/>
        </w:rPr>
        <w:t xml:space="preserve">Is employed by the agency, often allocated across multiple clients or rotated between projects, managed by the agency's own delivery leads, has no real stake in your company's outcomes, and — the part that actually worries buyers — could be working on a competitor's codebase in parallel or shortly after. When the agency's priorities shift, your resourcing shifts with it, often without much notice.</w:t>
      </w:r>
    </w:p>
    <w:p>
      <w:pPr>
        <w:pStyle w:val="Heading2"/>
        <w:spacing w:after="120" w:before="260"/>
      </w:pPr>
      <w:r>
        <w:rPr>
          <w:b/>
          <w:bCs/>
          <w:color w:val="2E6F5E"/>
        </w:rPr>
        <w:t xml:space="preserve">An EOR employee</w:t>
      </w:r>
    </w:p>
    <w:p>
      <w:pPr>
        <w:spacing w:after="160" w:line="300"/>
      </w:pPr>
      <w:r>
        <w:rPr>
          <w:sz w:val="22"/>
          <w:szCs w:val="22"/>
        </w:rPr>
        <w:t xml:space="preserve">Works exclusively for you, full-time, reports directly to your managers, sits in your Slack or Teams, follows your processes, attends your all-hands, and has a career path inside your company. The EOR only exists in the background for payroll, tax and legal compliance — to everyone else on the team, this is simply "our engineer in India," not "the agency's contractor."</w:t>
      </w:r>
    </w:p>
    <w:p>
      <w:pPr>
        <w:pStyle w:val="Heading2"/>
        <w:spacing w:after="120" w:before="260"/>
      </w:pPr>
      <w:r>
        <w:rPr>
          <w:b/>
          <w:bCs/>
          <w:color w:val="2E6F5E"/>
        </w:rPr>
        <w:t xml:space="preserve">How to bring this into the site</w:t>
      </w:r>
    </w:p>
    <w:p>
      <w:pPr>
        <w:pStyle w:val="ListParagraph"/>
        <w:numPr>
          <w:ilvl w:val="0"/>
          <w:numId w:val="2"/>
        </w:numPr>
        <w:spacing w:after="100"/>
      </w:pPr>
      <w:r>
        <w:t xml:space="preserve">Name the wound directly — a section or FAQ along the lines of "Not another outsourcing agency" or "If you've been burned by an agency before," speaking to the exact bad experience rather than hoping the reader infers the difference.</w:t>
      </w:r>
    </w:p>
    <w:p>
      <w:pPr>
        <w:pStyle w:val="ListParagraph"/>
        <w:numPr>
          <w:ilvl w:val="0"/>
          <w:numId w:val="2"/>
        </w:numPr>
        <w:spacing w:after="100"/>
      </w:pPr>
      <w:r>
        <w:t xml:space="preserve">Add a straight comparison table (below) so a buyer can self-diagnose against their own history in seconds.</w:t>
      </w:r>
    </w:p>
    <w:p>
      <w:pPr>
        <w:pStyle w:val="ListParagraph"/>
        <w:numPr>
          <w:ilvl w:val="0"/>
          <w:numId w:val="2"/>
        </w:numPr>
        <w:spacing w:after="100"/>
      </w:pPr>
      <w:r>
        <w:t xml:space="preserve">State exclusivity as a contractual fact, not an assumption — if the employment agreement stipulates the person works solely for the client, say so plainly, since it removes any ambiguity about moonlighting or being shared across accounts.</w:t>
      </w:r>
    </w:p>
    <w:p>
      <w:pPr>
        <w:pStyle w:val="ListParagraph"/>
        <w:numPr>
          <w:ilvl w:val="0"/>
          <w:numId w:val="2"/>
        </w:numPr>
        <w:spacing w:after="100"/>
      </w:pPr>
      <w:r>
        <w:t xml:space="preserve">Get one testimonial that names this exact contrast — a quote about someone finally feeling like "our person" rather than "the agency's resource" will likely outperform anything else on the page for this audience.</w:t>
      </w:r>
    </w:p>
    <w:p>
      <w:pPr>
        <w:pStyle w:val="ListParagraph"/>
        <w:numPr>
          <w:ilvl w:val="0"/>
          <w:numId w:val="2"/>
        </w:numPr>
        <w:spacing w:after="100"/>
      </w:pPr>
      <w:r>
        <w:t xml:space="preserve">Give "You manage the people, we manage the employment" its own visual weight — right now it's a throwaway line mid-page, but for a burned buyer this sentence is close to the entire pitch.</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450"/>
        <w:gridCol w:w="3450"/>
      </w:tblGrid>
      <w:tr>
        <w:tc>
          <w:tcPr>
            <w:tcW w:type="pct" w:w="33%"/>
            <w:shd w:fill="1F2A44" w:val="clear"/>
            <w:tcMar>
              <w:top w:type="dxa" w:w="120"/>
              <w:left w:type="dxa" w:w="160"/>
              <w:bottom w:type="dxa" w:w="120"/>
              <w:right w:type="dxa" w:w="160"/>
            </w:tcMar>
          </w:tcPr>
          <w:p>
            <w:r>
              <w:rPr>
                <w:b/>
                <w:bCs/>
                <w:color w:val="FFFFFF"/>
                <w:sz w:val="20"/>
                <w:szCs w:val="20"/>
              </w:rPr>
              <w:t xml:space="preserve">Dimension</w:t>
            </w:r>
          </w:p>
        </w:tc>
        <w:tc>
          <w:tcPr>
            <w:tcW w:type="pct" w:w="33%"/>
            <w:shd w:fill="1F2A44" w:val="clear"/>
            <w:tcMar>
              <w:top w:type="dxa" w:w="120"/>
              <w:left w:type="dxa" w:w="160"/>
              <w:bottom w:type="dxa" w:w="120"/>
              <w:right w:type="dxa" w:w="160"/>
            </w:tcMar>
          </w:tcPr>
          <w:p>
            <w:r>
              <w:rPr>
                <w:b/>
                <w:bCs/>
                <w:color w:val="FFFFFF"/>
                <w:sz w:val="20"/>
                <w:szCs w:val="20"/>
              </w:rPr>
              <w:t xml:space="preserve">Agency / Staffing</w:t>
            </w:r>
          </w:p>
        </w:tc>
        <w:tc>
          <w:tcPr>
            <w:tcW w:type="pct" w:w="33%"/>
            <w:shd w:fill="1F2A44" w:val="clear"/>
            <w:tcMar>
              <w:top w:type="dxa" w:w="120"/>
              <w:left w:type="dxa" w:w="160"/>
              <w:bottom w:type="dxa" w:w="120"/>
              <w:right w:type="dxa" w:w="160"/>
            </w:tcMar>
          </w:tcPr>
          <w:p>
            <w:r>
              <w:rPr>
                <w:b/>
                <w:bCs/>
                <w:color w:val="FFFFFF"/>
                <w:sz w:val="20"/>
                <w:szCs w:val="20"/>
              </w:rPr>
              <w:t xml:space="preserve">Codezilla Teams EOR</w:t>
            </w:r>
          </w:p>
        </w:tc>
      </w:tr>
      <w:tr>
        <w:tc>
          <w:tcPr>
            <w:tcW w:type="pct" w:w="33%"/>
            <w:shd w:fill="FFFFFF" w:val="clear"/>
            <w:tcMar>
              <w:top w:type="dxa" w:w="120"/>
              <w:left w:type="dxa" w:w="160"/>
              <w:bottom w:type="dxa" w:w="120"/>
              <w:right w:type="dxa" w:w="160"/>
            </w:tcMar>
          </w:tcPr>
          <w:p>
            <w:r>
              <w:rPr>
                <w:sz w:val="20"/>
                <w:szCs w:val="20"/>
              </w:rPr>
              <w:t xml:space="preserve">Who they work for</w:t>
            </w:r>
          </w:p>
        </w:tc>
        <w:tc>
          <w:tcPr>
            <w:tcW w:type="pct" w:w="33%"/>
            <w:shd w:fill="FFFFFF" w:val="clear"/>
            <w:tcMar>
              <w:top w:type="dxa" w:w="120"/>
              <w:left w:type="dxa" w:w="160"/>
              <w:bottom w:type="dxa" w:w="120"/>
              <w:right w:type="dxa" w:w="160"/>
            </w:tcMar>
          </w:tcPr>
          <w:p>
            <w:r>
              <w:rPr>
                <w:sz w:val="20"/>
                <w:szCs w:val="20"/>
              </w:rPr>
              <w:t xml:space="preserve">The agency's client roster — can be shared or rotated across accounts</w:t>
            </w:r>
          </w:p>
        </w:tc>
        <w:tc>
          <w:tcPr>
            <w:tcW w:type="pct" w:w="33%"/>
            <w:shd w:fill="FFFFFF" w:val="clear"/>
            <w:tcMar>
              <w:top w:type="dxa" w:w="120"/>
              <w:left w:type="dxa" w:w="160"/>
              <w:bottom w:type="dxa" w:w="120"/>
              <w:right w:type="dxa" w:w="160"/>
            </w:tcMar>
          </w:tcPr>
          <w:p>
            <w:r>
              <w:rPr>
                <w:sz w:val="20"/>
                <w:szCs w:val="20"/>
              </w:rPr>
              <w:t xml:space="preserve">Exclusively you, full-time, for as long as you employ them</w:t>
            </w:r>
          </w:p>
        </w:tc>
      </w:tr>
      <w:tr>
        <w:tc>
          <w:tcPr>
            <w:tcW w:type="pct" w:w="33%"/>
            <w:shd w:fill="F2F5F4" w:val="clear"/>
            <w:tcMar>
              <w:top w:type="dxa" w:w="120"/>
              <w:left w:type="dxa" w:w="160"/>
              <w:bottom w:type="dxa" w:w="120"/>
              <w:right w:type="dxa" w:w="160"/>
            </w:tcMar>
          </w:tcPr>
          <w:p>
            <w:r>
              <w:rPr>
                <w:sz w:val="20"/>
                <w:szCs w:val="20"/>
              </w:rPr>
              <w:t xml:space="preserve">Reporting line</w:t>
            </w:r>
          </w:p>
        </w:tc>
        <w:tc>
          <w:tcPr>
            <w:tcW w:type="pct" w:w="33%"/>
            <w:shd w:fill="F2F5F4" w:val="clear"/>
            <w:tcMar>
              <w:top w:type="dxa" w:w="120"/>
              <w:left w:type="dxa" w:w="160"/>
              <w:bottom w:type="dxa" w:w="120"/>
              <w:right w:type="dxa" w:w="160"/>
            </w:tcMar>
          </w:tcPr>
          <w:p>
            <w:r>
              <w:rPr>
                <w:sz w:val="20"/>
                <w:szCs w:val="20"/>
              </w:rPr>
              <w:t xml:space="preserve">Agency delivery manager</w:t>
            </w:r>
          </w:p>
        </w:tc>
        <w:tc>
          <w:tcPr>
            <w:tcW w:type="pct" w:w="33%"/>
            <w:shd w:fill="F2F5F4" w:val="clear"/>
            <w:tcMar>
              <w:top w:type="dxa" w:w="120"/>
              <w:left w:type="dxa" w:w="160"/>
              <w:bottom w:type="dxa" w:w="120"/>
              <w:right w:type="dxa" w:w="160"/>
            </w:tcMar>
          </w:tcPr>
          <w:p>
            <w:r>
              <w:rPr>
                <w:sz w:val="20"/>
                <w:szCs w:val="20"/>
              </w:rPr>
              <w:t xml:space="preserve">Your own manager, inside your own structure</w:t>
            </w:r>
          </w:p>
        </w:tc>
      </w:tr>
      <w:tr>
        <w:tc>
          <w:tcPr>
            <w:tcW w:type="pct" w:w="33%"/>
            <w:shd w:fill="FFFFFF" w:val="clear"/>
            <w:tcMar>
              <w:top w:type="dxa" w:w="120"/>
              <w:left w:type="dxa" w:w="160"/>
              <w:bottom w:type="dxa" w:w="120"/>
              <w:right w:type="dxa" w:w="160"/>
            </w:tcMar>
          </w:tcPr>
          <w:p>
            <w:r>
              <w:rPr>
                <w:sz w:val="20"/>
                <w:szCs w:val="20"/>
              </w:rPr>
              <w:t xml:space="preserve">IP ownership</w:t>
            </w:r>
          </w:p>
        </w:tc>
        <w:tc>
          <w:tcPr>
            <w:tcW w:type="pct" w:w="33%"/>
            <w:shd w:fill="FFFFFF" w:val="clear"/>
            <w:tcMar>
              <w:top w:type="dxa" w:w="120"/>
              <w:left w:type="dxa" w:w="160"/>
              <w:bottom w:type="dxa" w:w="120"/>
              <w:right w:type="dxa" w:w="160"/>
            </w:tcMar>
          </w:tcPr>
          <w:p>
            <w:r>
              <w:rPr>
                <w:sz w:val="20"/>
                <w:szCs w:val="20"/>
              </w:rPr>
              <w:t xml:space="preserve">Often shared or ambiguous</w:t>
            </w:r>
          </w:p>
        </w:tc>
        <w:tc>
          <w:tcPr>
            <w:tcW w:type="pct" w:w="33%"/>
            <w:shd w:fill="FFFFFF" w:val="clear"/>
            <w:tcMar>
              <w:top w:type="dxa" w:w="120"/>
              <w:left w:type="dxa" w:w="160"/>
              <w:bottom w:type="dxa" w:w="120"/>
              <w:right w:type="dxa" w:w="160"/>
            </w:tcMar>
          </w:tcPr>
          <w:p>
            <w:r>
              <w:rPr>
                <w:sz w:val="20"/>
                <w:szCs w:val="20"/>
              </w:rPr>
              <w:t xml:space="preserve">Assigned to your company</w:t>
            </w:r>
          </w:p>
        </w:tc>
      </w:tr>
      <w:tr>
        <w:tc>
          <w:tcPr>
            <w:tcW w:type="pct" w:w="33%"/>
            <w:shd w:fill="F2F5F4" w:val="clear"/>
            <w:tcMar>
              <w:top w:type="dxa" w:w="120"/>
              <w:left w:type="dxa" w:w="160"/>
              <w:bottom w:type="dxa" w:w="120"/>
              <w:right w:type="dxa" w:w="160"/>
            </w:tcMar>
          </w:tcPr>
          <w:p>
            <w:r>
              <w:rPr>
                <w:sz w:val="20"/>
                <w:szCs w:val="20"/>
              </w:rPr>
              <w:t xml:space="preserve">Continuity</w:t>
            </w:r>
          </w:p>
        </w:tc>
        <w:tc>
          <w:tcPr>
            <w:tcW w:type="pct" w:w="33%"/>
            <w:shd w:fill="F2F5F4" w:val="clear"/>
            <w:tcMar>
              <w:top w:type="dxa" w:w="120"/>
              <w:left w:type="dxa" w:w="160"/>
              <w:bottom w:type="dxa" w:w="120"/>
              <w:right w:type="dxa" w:w="160"/>
            </w:tcMar>
          </w:tcPr>
          <w:p>
            <w:r>
              <w:rPr>
                <w:sz w:val="20"/>
                <w:szCs w:val="20"/>
              </w:rPr>
              <w:t xml:space="preserve">Can be reallocated by the agency without much notice</w:t>
            </w:r>
          </w:p>
        </w:tc>
        <w:tc>
          <w:tcPr>
            <w:tcW w:type="pct" w:w="33%"/>
            <w:shd w:fill="F2F5F4" w:val="clear"/>
            <w:tcMar>
              <w:top w:type="dxa" w:w="120"/>
              <w:left w:type="dxa" w:w="160"/>
              <w:bottom w:type="dxa" w:w="120"/>
              <w:right w:type="dxa" w:w="160"/>
            </w:tcMar>
          </w:tcPr>
          <w:p>
            <w:r>
              <w:rPr>
                <w:sz w:val="20"/>
                <w:szCs w:val="20"/>
              </w:rPr>
              <w:t xml:space="preserve">Stays with you until you decide otherwise</w:t>
            </w:r>
          </w:p>
        </w:tc>
      </w:tr>
      <w:tr>
        <w:tc>
          <w:tcPr>
            <w:tcW w:type="pct" w:w="33%"/>
            <w:shd w:fill="FFFFFF" w:val="clear"/>
            <w:tcMar>
              <w:top w:type="dxa" w:w="120"/>
              <w:left w:type="dxa" w:w="160"/>
              <w:bottom w:type="dxa" w:w="120"/>
              <w:right w:type="dxa" w:w="160"/>
            </w:tcMar>
          </w:tcPr>
          <w:p>
            <w:r>
              <w:rPr>
                <w:sz w:val="20"/>
                <w:szCs w:val="20"/>
              </w:rPr>
              <w:t xml:space="preserve">Team integration</w:t>
            </w:r>
          </w:p>
        </w:tc>
        <w:tc>
          <w:tcPr>
            <w:tcW w:type="pct" w:w="33%"/>
            <w:shd w:fill="FFFFFF" w:val="clear"/>
            <w:tcMar>
              <w:top w:type="dxa" w:w="120"/>
              <w:left w:type="dxa" w:w="160"/>
              <w:bottom w:type="dxa" w:w="120"/>
              <w:right w:type="dxa" w:w="160"/>
            </w:tcMar>
          </w:tcPr>
          <w:p>
            <w:r>
              <w:rPr>
                <w:sz w:val="20"/>
                <w:szCs w:val="20"/>
              </w:rPr>
              <w:t xml:space="preserve">External resource, project-based</w:t>
            </w:r>
          </w:p>
        </w:tc>
        <w:tc>
          <w:tcPr>
            <w:tcW w:type="pct" w:w="33%"/>
            <w:shd w:fill="FFFFFF" w:val="clear"/>
            <w:tcMar>
              <w:top w:type="dxa" w:w="120"/>
              <w:left w:type="dxa" w:w="160"/>
              <w:bottom w:type="dxa" w:w="120"/>
              <w:right w:type="dxa" w:w="160"/>
            </w:tcMar>
          </w:tcPr>
          <w:p>
            <w:r>
              <w:rPr>
                <w:sz w:val="20"/>
                <w:szCs w:val="20"/>
              </w:rPr>
              <w:t xml:space="preserve">Full team member — standups, reviews, career conversations</w:t>
            </w:r>
          </w:p>
        </w:tc>
      </w:tr>
    </w:tbl>
    <w:p>
      <w:pPr>
        <w:pStyle w:val="Heading1"/>
        <w:pBdr>
          <w:bottom w:val="single" w:color="2E6F5E" w:sz="8" w:space="4"/>
        </w:pBdr>
        <w:spacing w:after="160" w:before="360"/>
      </w:pPr>
      <w:r>
        <w:rPr>
          <w:b/>
          <w:bCs/>
          <w:color w:val="1F2A44"/>
        </w:rPr>
        <w:t xml:space="preserve">6. If I Were Prioritising, In Order</w:t>
      </w:r>
    </w:p>
    <w:p>
      <w:pPr>
        <w:pStyle w:val="ListParagraph"/>
        <w:numPr>
          <w:ilvl w:val="0"/>
          <w:numId w:val="2"/>
        </w:numPr>
        <w:spacing w:after="100"/>
      </w:pPr>
      <w:r>
        <w:t xml:space="preserve">Two or three real client logos or a testimonial — highest impact for near-zero cost.</w:t>
      </w:r>
    </w:p>
    <w:p>
      <w:pPr>
        <w:pStyle w:val="ListParagraph"/>
        <w:numPr>
          <w:ilvl w:val="0"/>
          <w:numId w:val="2"/>
        </w:numPr>
        <w:spacing w:after="100"/>
      </w:pPr>
      <w:r>
        <w:t xml:space="preserve">A plain-English section on exit terms, notice periods, IP assignment and transition fees — this is the first thing a buyer's ops or legal person asks in the follow-up call, so answering it up front signals confidence rather than reluctance.</w:t>
      </w:r>
    </w:p>
    <w:p>
      <w:pPr>
        <w:pStyle w:val="ListParagraph"/>
        <w:numPr>
          <w:ilvl w:val="0"/>
          <w:numId w:val="2"/>
        </w:numPr>
        <w:spacing w:after="100"/>
      </w:pPr>
      <w:r>
        <w:t xml:space="preserve">Pricing bands and named leadership.</w:t>
      </w:r>
    </w:p>
    <w:p>
      <w:pPr>
        <w:pStyle w:val="ListParagraph"/>
        <w:numPr>
          <w:ilvl w:val="0"/>
          <w:numId w:val="2"/>
        </w:numPr>
        <w:spacing w:after="100"/>
      </w:pPr>
      <w:r>
        <w:t xml:space="preserve">The agency-vs-EOR comparison and a burned-buyer FAQ section.</w:t>
      </w:r>
    </w:p>
    <w:p>
      <w:pPr>
        <w:pStyle w:val="ListParagraph"/>
        <w:numPr>
          <w:ilvl w:val="0"/>
          <w:numId w:val="2"/>
        </w:numPr>
        <w:spacing w:after="100"/>
      </w:pPr>
      <w:r>
        <w:t xml:space="preserve">Tidy up the smaller inconsistencies — onboarding timeline is quoted as both "3-5 days" and "72 hours" in different places, and the Industries page currently links every vertical to the same generic content.</w:t>
      </w:r>
    </w:p>
    <w:p>
      <w:pPr>
        <w:pBdr>
          <w:top w:val="single" w:color="2E6F5E" w:sz="8" w:space="8"/>
        </w:pBdr>
        <w:spacing w:before="400"/>
      </w:pPr>
      <w:r>
        <w:rPr>
          <w:i/>
          <w:iCs/>
          <w:color w:val="595959"/>
          <w:sz w:val="20"/>
          <w:szCs w:val="20"/>
        </w:rPr>
        <w:t xml:space="preserve">Happy to help draft any of the above once you've decided what to prioritise — the comparison table and the exit-terms section are probably the two with the best return on effort.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2026-07-10T13:15:35.440Z</dcterms:created>
  <dcterms:modified xsi:type="dcterms:W3CDTF">2026-07-10T13:15:35.464Z</dcterms:modified>
</cp:coreProperties>
</file>

<file path=docProps/custom.xml><?xml version="1.0" encoding="utf-8"?>
<Properties xmlns="http://schemas.openxmlformats.org/officeDocument/2006/custom-properties" xmlns:vt="http://schemas.openxmlformats.org/officeDocument/2006/docPropsVTypes"/>
</file>