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color w:val="1E3A8A"/>
          <w:sz w:val="48"/>
        </w:rPr>
        <w:t>Study Guide: Theories of Self-Development &amp; Socialization</w:t>
      </w:r>
    </w:p>
    <w:p>
      <w:pPr>
        <w:keepNext/>
        <w:spacing w:before="0" w:after="360"/>
      </w:pPr>
      <w:r>
        <w:rPr>
          <w:rFonts w:ascii="Arial" w:hAnsi="Arial"/>
          <w:b w:val="0"/>
          <w:color w:val="64748B"/>
          <w:sz w:val="24"/>
        </w:rPr>
        <w:t>Comprehensive Review, Comparative Matrix &amp; Model Essay Responses | Semester 3 Courseware</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left w:val="single" w:sz="24" w:space="0" w:color="0D9488"/>
              <w:bottom w:val="none"/>
              <w:right w:val="none"/>
            </w:tcBorders>
          </w:tcPr>
          <w:p>
            <w:pPr>
              <w:spacing w:before="40" w:after="80"/>
            </w:pPr>
            <w:r>
              <w:rPr>
                <w:rFonts w:ascii="Arial" w:hAnsi="Arial"/>
                <w:b/>
                <w:color w:val="1D4ED8"/>
                <w:sz w:val="22"/>
              </w:rPr>
              <w:t>EXECUTIVE SUMMARY</w:t>
            </w:r>
          </w:p>
          <w:p>
            <w:pPr>
              <w:spacing w:before="0" w:after="40"/>
            </w:pPr>
            <w:r>
              <w:rPr>
                <w:rFonts w:ascii="Calibri" w:hAnsi="Calibri"/>
                <w:color w:val="334155"/>
                <w:sz w:val="20"/>
              </w:rPr>
              <w:t>This study guide synthesizes key psychological and sociological paradigms of human self-development, moral reasoning, and gender socialization. Designed for Semester 3 undergraduates, it provides high-yield section summaries, an analytical comparative theorist matrix, a master key-term glossary, and model essay answers designed for rigorous examination preparation.</w:t>
            </w:r>
          </w:p>
        </w:tc>
      </w:tr>
    </w:tbl>
    <w:p>
      <w:pPr>
        <w:spacing w:after="120"/>
      </w:pPr>
    </w:p>
    <w:p>
      <w:pPr>
        <w:pStyle w:val="Heading1"/>
        <w:keepNext/>
        <w:spacing w:before="280" w:after="160"/>
      </w:pPr>
      <w:r>
        <w:rPr>
          <w:rFonts w:ascii="Arial" w:hAnsi="Arial"/>
          <w:b/>
          <w:color w:val="1E3A8A"/>
          <w:sz w:val="32"/>
        </w:rPr>
        <w:t>1. Section Summaries</w:t>
      </w:r>
    </w:p>
    <w:p>
      <w:pPr>
        <w:spacing w:after="120" w:line="276" w:lineRule="auto"/>
      </w:pPr>
      <w:r>
        <w:rPr>
          <w:rFonts w:ascii="Calibri" w:hAnsi="Calibri"/>
          <w:b/>
          <w:color w:val="1E293B"/>
          <w:sz w:val="22"/>
        </w:rPr>
        <w:t xml:space="preserve">Psychological Foundations of Self-Development: </w:t>
      </w:r>
      <w:r>
        <w:rPr>
          <w:rFonts w:ascii="Calibri" w:hAnsi="Calibri"/>
          <w:color w:val="1E293B"/>
          <w:sz w:val="22"/>
        </w:rPr>
        <w:t>Psychology focuses on internal mental development and emotional dynamics. Freud emphasized early psychosexual stages and fixations; Erikson expanded development across eight lifelong psychosocial stages; Piaget highlighted cognitive negotiation between mental schemas and social experience; and Harlow demonstrated through rhesus monkey experiments that emotional attachment and social contact comfort are indispensable prerequisites for healthy developmental functioning.</w:t>
      </w:r>
    </w:p>
    <w:p>
      <w:pPr>
        <w:spacing w:after="120" w:line="276" w:lineRule="auto"/>
      </w:pPr>
      <w:r>
        <w:rPr>
          <w:rFonts w:ascii="Calibri" w:hAnsi="Calibri"/>
          <w:b/>
          <w:color w:val="1E293B"/>
          <w:sz w:val="22"/>
        </w:rPr>
        <w:t xml:space="preserve">Sociological Perspectives &amp; Distinction: </w:t>
      </w:r>
      <w:r>
        <w:rPr>
          <w:rFonts w:ascii="Calibri" w:hAnsi="Calibri"/>
          <w:color w:val="1E293B"/>
          <w:sz w:val="22"/>
        </w:rPr>
        <w:t>While psychology looks inward at mental health and cognitive processing, sociology looks outward at social structures, institutions, and cultural norms. Durkheim established sociology's distinct empirical realm by analyzing suicide as a social phenomenon. Cooley demonstrated that self-concept arises through the 'looking glass self' (reflecting perceived judgments of others). Mead conceptualized the social 'self' as evolving through three distinct developmental stages (preparatory, play, and game) culminating in the internalization of the 'generalized other'.</w:t>
      </w:r>
    </w:p>
    <w:p>
      <w:pPr>
        <w:spacing w:after="120" w:line="276" w:lineRule="auto"/>
      </w:pPr>
      <w:r>
        <w:rPr>
          <w:rFonts w:ascii="Calibri" w:hAnsi="Calibri"/>
          <w:b/>
          <w:color w:val="1E293B"/>
          <w:sz w:val="22"/>
        </w:rPr>
        <w:t xml:space="preserve">Moral Development &amp; Gender Socialization: </w:t>
      </w:r>
      <w:r>
        <w:rPr>
          <w:rFonts w:ascii="Calibri" w:hAnsi="Calibri"/>
          <w:color w:val="1E293B"/>
          <w:sz w:val="22"/>
        </w:rPr>
        <w:t>Kohlberg outlined three levels of moral reasoning: preconventional (sensory rewards/punishments), conventional (social norms/laws), and postconventional (abstract universal ethics). Gilligan critiqued Kohlberg's male-only sample, contrasting a male 'justice perspective' with a female 'care perspective'. Modern sociologists note that observed moral orientations reflect gender socialization—societal reinforcement of gendered norms and behavioral expectations—rather than inherent cognitive differences, as illustrated by everyday messaging (Bloom) and structural experiments like Sweden's Egalia preschool.</w:t>
      </w:r>
    </w:p>
    <w:p>
      <w:pPr>
        <w:pStyle w:val="Heading1"/>
        <w:keepNext/>
        <w:spacing w:before="320" w:after="160"/>
      </w:pPr>
      <w:r>
        <w:rPr>
          <w:rFonts w:ascii="Arial" w:hAnsi="Arial"/>
          <w:b/>
          <w:color w:val="1E3A8A"/>
          <w:sz w:val="32"/>
        </w:rPr>
        <w:t>2. Comparative Theorist Matrix</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872"/>
        <w:gridCol w:w="1872"/>
        <w:gridCol w:w="1872"/>
        <w:gridCol w:w="1872"/>
        <w:gridCol w:w="1872"/>
      </w:tblGrid>
      <w:tr>
        <w:tc>
          <w:tcPr>
            <w:tcW w:type="dxa" w:w="1728"/>
            <w:shd w:fill="1E3A8A"/>
            <w:tcMar>
              <w:top w:w="100" w:type="dxa"/>
              <w:bottom w:w="100" w:type="dxa"/>
              <w:left w:w="100" w:type="dxa"/>
              <w:right w:w="100" w:type="dxa"/>
            </w:tcMar>
          </w:tcPr>
          <w:p>
            <w:pPr>
              <w:spacing w:before="60" w:after="60"/>
            </w:pPr>
            <w:r>
              <w:rPr>
                <w:rFonts w:ascii="Arial" w:hAnsi="Arial"/>
                <w:b/>
                <w:color w:val="FFFFFF"/>
                <w:sz w:val="19"/>
              </w:rPr>
              <w:t>Theorist</w:t>
            </w:r>
          </w:p>
        </w:tc>
        <w:tc>
          <w:tcPr>
            <w:tcW w:type="dxa" w:w="1440"/>
            <w:shd w:fill="1E3A8A"/>
            <w:tcMar>
              <w:top w:w="100" w:type="dxa"/>
              <w:bottom w:w="100" w:type="dxa"/>
              <w:left w:w="100" w:type="dxa"/>
              <w:right w:w="100" w:type="dxa"/>
            </w:tcMar>
          </w:tcPr>
          <w:p>
            <w:pPr>
              <w:spacing w:before="60" w:after="60"/>
            </w:pPr>
            <w:r>
              <w:rPr>
                <w:rFonts w:ascii="Arial" w:hAnsi="Arial"/>
                <w:b/>
                <w:color w:val="FFFFFF"/>
                <w:sz w:val="19"/>
              </w:rPr>
              <w:t>Discipline</w:t>
            </w:r>
          </w:p>
        </w:tc>
        <w:tc>
          <w:tcPr>
            <w:tcW w:type="dxa" w:w="1872"/>
            <w:shd w:fill="1E3A8A"/>
            <w:tcMar>
              <w:top w:w="100" w:type="dxa"/>
              <w:bottom w:w="100" w:type="dxa"/>
              <w:left w:w="100" w:type="dxa"/>
              <w:right w:w="100" w:type="dxa"/>
            </w:tcMar>
          </w:tcPr>
          <w:p>
            <w:pPr>
              <w:spacing w:before="60" w:after="60"/>
            </w:pPr>
            <w:r>
              <w:rPr>
                <w:rFonts w:ascii="Arial" w:hAnsi="Arial"/>
                <w:b/>
                <w:color w:val="FFFFFF"/>
                <w:sz w:val="19"/>
              </w:rPr>
              <w:t>Key Concept / Theory</w:t>
            </w:r>
          </w:p>
        </w:tc>
        <w:tc>
          <w:tcPr>
            <w:tcW w:type="dxa" w:w="2304"/>
            <w:shd w:fill="1E3A8A"/>
            <w:tcMar>
              <w:top w:w="100" w:type="dxa"/>
              <w:bottom w:w="100" w:type="dxa"/>
              <w:left w:w="100" w:type="dxa"/>
              <w:right w:w="100" w:type="dxa"/>
            </w:tcMar>
          </w:tcPr>
          <w:p>
            <w:pPr>
              <w:spacing w:before="60" w:after="60"/>
            </w:pPr>
            <w:r>
              <w:rPr>
                <w:rFonts w:ascii="Arial" w:hAnsi="Arial"/>
                <w:b/>
                <w:color w:val="FFFFFF"/>
                <w:sz w:val="19"/>
              </w:rPr>
              <w:t>Core Mechanism / Focus</w:t>
            </w:r>
          </w:p>
        </w:tc>
        <w:tc>
          <w:tcPr>
            <w:tcW w:type="dxa" w:w="2016"/>
            <w:shd w:fill="1E3A8A"/>
            <w:tcMar>
              <w:top w:w="100" w:type="dxa"/>
              <w:bottom w:w="100" w:type="dxa"/>
              <w:left w:w="100" w:type="dxa"/>
              <w:right w:w="100" w:type="dxa"/>
            </w:tcMar>
          </w:tcPr>
          <w:p>
            <w:pPr>
              <w:spacing w:before="60" w:after="60"/>
            </w:pPr>
            <w:r>
              <w:rPr>
                <w:rFonts w:ascii="Arial" w:hAnsi="Arial"/>
                <w:b/>
                <w:color w:val="FFFFFF"/>
                <w:sz w:val="19"/>
              </w:rPr>
              <w:t>Major Contribution / Critique</w:t>
            </w:r>
          </w:p>
        </w:tc>
      </w:tr>
      <w:tr>
        <w:tc>
          <w:tcPr>
            <w:tcW w:type="dxa" w:w="1728"/>
            <w:shd w:fill="F8FAFC"/>
            <w:tcMar>
              <w:top w:w="80" w:type="dxa"/>
              <w:bottom w:w="80" w:type="dxa"/>
              <w:left w:w="100" w:type="dxa"/>
              <w:right w:w="100" w:type="dxa"/>
            </w:tcMar>
          </w:tcPr>
          <w:p>
            <w:pPr>
              <w:spacing w:before="60" w:after="60"/>
            </w:pPr>
            <w:r>
              <w:rPr>
                <w:rFonts w:ascii="Calibri" w:hAnsi="Calibri"/>
                <w:color w:val="1E293B"/>
                <w:sz w:val="18"/>
              </w:rPr>
              <w:t>Sigmund Freud</w:t>
            </w:r>
          </w:p>
        </w:tc>
        <w:tc>
          <w:tcPr>
            <w:tcW w:type="dxa" w:w="1440"/>
            <w:shd w:fill="F8FAFC"/>
            <w:tcMar>
              <w:top w:w="80" w:type="dxa"/>
              <w:bottom w:w="80" w:type="dxa"/>
              <w:left w:w="100" w:type="dxa"/>
              <w:right w:w="100" w:type="dxa"/>
            </w:tcMar>
          </w:tcPr>
          <w:p>
            <w:pPr>
              <w:spacing w:before="60" w:after="60"/>
            </w:pPr>
            <w:r>
              <w:rPr>
                <w:rFonts w:ascii="Calibri" w:hAnsi="Calibri"/>
                <w:color w:val="1E293B"/>
                <w:sz w:val="18"/>
              </w:rPr>
              <w:t>Psychoanalysis</w:t>
            </w:r>
          </w:p>
        </w:tc>
        <w:tc>
          <w:tcPr>
            <w:tcW w:type="dxa" w:w="1872"/>
            <w:shd w:fill="F8FAFC"/>
            <w:tcMar>
              <w:top w:w="80" w:type="dxa"/>
              <w:bottom w:w="80" w:type="dxa"/>
              <w:left w:w="100" w:type="dxa"/>
              <w:right w:w="100" w:type="dxa"/>
            </w:tcMar>
          </w:tcPr>
          <w:p>
            <w:pPr>
              <w:spacing w:before="60" w:after="60"/>
            </w:pPr>
            <w:r>
              <w:rPr>
                <w:rFonts w:ascii="Calibri" w:hAnsi="Calibri"/>
                <w:color w:val="1E293B"/>
                <w:sz w:val="18"/>
              </w:rPr>
              <w:t>Psychosexual Stages</w:t>
            </w:r>
          </w:p>
        </w:tc>
        <w:tc>
          <w:tcPr>
            <w:tcW w:type="dxa" w:w="2304"/>
            <w:shd w:fill="F8FAFC"/>
            <w:tcMar>
              <w:top w:w="80" w:type="dxa"/>
              <w:bottom w:w="80" w:type="dxa"/>
              <w:left w:w="100" w:type="dxa"/>
              <w:right w:w="100" w:type="dxa"/>
            </w:tcMar>
          </w:tcPr>
          <w:p>
            <w:pPr>
              <w:spacing w:before="60" w:after="60"/>
            </w:pPr>
            <w:r>
              <w:rPr>
                <w:rFonts w:ascii="Calibri" w:hAnsi="Calibri"/>
                <w:color w:val="1E293B"/>
                <w:sz w:val="18"/>
              </w:rPr>
              <w:t>Early childhood fixations &amp; subconscious urges</w:t>
            </w:r>
          </w:p>
        </w:tc>
        <w:tc>
          <w:tcPr>
            <w:tcW w:type="dxa" w:w="2016"/>
            <w:shd w:fill="F8FAFC"/>
            <w:tcMar>
              <w:top w:w="80" w:type="dxa"/>
              <w:bottom w:w="80" w:type="dxa"/>
              <w:left w:w="100" w:type="dxa"/>
              <w:right w:w="100" w:type="dxa"/>
            </w:tcMar>
          </w:tcPr>
          <w:p>
            <w:pPr>
              <w:spacing w:before="60" w:after="60"/>
            </w:pPr>
            <w:r>
              <w:rPr>
                <w:rFonts w:ascii="Calibri" w:hAnsi="Calibri"/>
                <w:color w:val="1E293B"/>
                <w:sz w:val="18"/>
              </w:rPr>
              <w:t>Pioneered developmental stages; overemphasized biological urges.</w:t>
            </w:r>
          </w:p>
        </w:tc>
      </w:tr>
      <w:tr>
        <w:tc>
          <w:tcPr>
            <w:tcW w:type="dxa" w:w="1728"/>
            <w:shd w:fill="FFFFFF"/>
            <w:tcMar>
              <w:top w:w="80" w:type="dxa"/>
              <w:bottom w:w="80" w:type="dxa"/>
              <w:left w:w="100" w:type="dxa"/>
              <w:right w:w="100" w:type="dxa"/>
            </w:tcMar>
          </w:tcPr>
          <w:p>
            <w:pPr>
              <w:spacing w:before="60" w:after="60"/>
            </w:pPr>
            <w:r>
              <w:rPr>
                <w:rFonts w:ascii="Calibri" w:hAnsi="Calibri"/>
                <w:color w:val="1E293B"/>
                <w:sz w:val="18"/>
              </w:rPr>
              <w:t>Erik Erikson</w:t>
            </w:r>
          </w:p>
        </w:tc>
        <w:tc>
          <w:tcPr>
            <w:tcW w:type="dxa" w:w="1440"/>
            <w:shd w:fill="FFFFFF"/>
            <w:tcMar>
              <w:top w:w="80" w:type="dxa"/>
              <w:bottom w:w="80" w:type="dxa"/>
              <w:left w:w="100" w:type="dxa"/>
              <w:right w:w="100" w:type="dxa"/>
            </w:tcMar>
          </w:tcPr>
          <w:p>
            <w:pPr>
              <w:spacing w:before="60" w:after="60"/>
            </w:pPr>
            <w:r>
              <w:rPr>
                <w:rFonts w:ascii="Calibri" w:hAnsi="Calibri"/>
                <w:color w:val="1E293B"/>
                <w:sz w:val="18"/>
              </w:rPr>
              <w:t>Psychology</w:t>
            </w:r>
          </w:p>
        </w:tc>
        <w:tc>
          <w:tcPr>
            <w:tcW w:type="dxa" w:w="1872"/>
            <w:shd w:fill="FFFFFF"/>
            <w:tcMar>
              <w:top w:w="80" w:type="dxa"/>
              <w:bottom w:w="80" w:type="dxa"/>
              <w:left w:w="100" w:type="dxa"/>
              <w:right w:w="100" w:type="dxa"/>
            </w:tcMar>
          </w:tcPr>
          <w:p>
            <w:pPr>
              <w:spacing w:before="60" w:after="60"/>
            </w:pPr>
            <w:r>
              <w:rPr>
                <w:rFonts w:ascii="Calibri" w:hAnsi="Calibri"/>
                <w:color w:val="1E293B"/>
                <w:sz w:val="18"/>
              </w:rPr>
              <w:t>Psychosocial Lifespan Stages</w:t>
            </w:r>
          </w:p>
        </w:tc>
        <w:tc>
          <w:tcPr>
            <w:tcW w:type="dxa" w:w="2304"/>
            <w:shd w:fill="FFFFFF"/>
            <w:tcMar>
              <w:top w:w="80" w:type="dxa"/>
              <w:bottom w:w="80" w:type="dxa"/>
              <w:left w:w="100" w:type="dxa"/>
              <w:right w:w="100" w:type="dxa"/>
            </w:tcMar>
          </w:tcPr>
          <w:p>
            <w:pPr>
              <w:spacing w:before="60" w:after="60"/>
            </w:pPr>
            <w:r>
              <w:rPr>
                <w:rFonts w:ascii="Calibri" w:hAnsi="Calibri"/>
                <w:color w:val="1E293B"/>
                <w:sz w:val="18"/>
              </w:rPr>
              <w:t>Eight stages negotiating base desires vs. social norms</w:t>
            </w:r>
          </w:p>
        </w:tc>
        <w:tc>
          <w:tcPr>
            <w:tcW w:type="dxa" w:w="2016"/>
            <w:shd w:fill="FFFFFF"/>
            <w:tcMar>
              <w:top w:w="80" w:type="dxa"/>
              <w:bottom w:w="80" w:type="dxa"/>
              <w:left w:w="100" w:type="dxa"/>
              <w:right w:w="100" w:type="dxa"/>
            </w:tcMar>
          </w:tcPr>
          <w:p>
            <w:pPr>
              <w:spacing w:before="60" w:after="60"/>
            </w:pPr>
            <w:r>
              <w:rPr>
                <w:rFonts w:ascii="Calibri" w:hAnsi="Calibri"/>
                <w:color w:val="1E293B"/>
                <w:sz w:val="18"/>
              </w:rPr>
              <w:t>Extended self-development across the entire lifespan.</w:t>
            </w:r>
          </w:p>
        </w:tc>
      </w:tr>
      <w:tr>
        <w:tc>
          <w:tcPr>
            <w:tcW w:type="dxa" w:w="1728"/>
            <w:shd w:fill="F8FAFC"/>
            <w:tcMar>
              <w:top w:w="80" w:type="dxa"/>
              <w:bottom w:w="80" w:type="dxa"/>
              <w:left w:w="100" w:type="dxa"/>
              <w:right w:w="100" w:type="dxa"/>
            </w:tcMar>
          </w:tcPr>
          <w:p>
            <w:pPr>
              <w:spacing w:before="60" w:after="60"/>
            </w:pPr>
            <w:r>
              <w:rPr>
                <w:rFonts w:ascii="Calibri" w:hAnsi="Calibri"/>
                <w:color w:val="1E293B"/>
                <w:sz w:val="18"/>
              </w:rPr>
              <w:t>Jean Piaget</w:t>
            </w:r>
          </w:p>
        </w:tc>
        <w:tc>
          <w:tcPr>
            <w:tcW w:type="dxa" w:w="1440"/>
            <w:shd w:fill="F8FAFC"/>
            <w:tcMar>
              <w:top w:w="80" w:type="dxa"/>
              <w:bottom w:w="80" w:type="dxa"/>
              <w:left w:w="100" w:type="dxa"/>
              <w:right w:w="100" w:type="dxa"/>
            </w:tcMar>
          </w:tcPr>
          <w:p>
            <w:pPr>
              <w:spacing w:before="60" w:after="60"/>
            </w:pPr>
            <w:r>
              <w:rPr>
                <w:rFonts w:ascii="Calibri" w:hAnsi="Calibri"/>
                <w:color w:val="1E293B"/>
                <w:sz w:val="18"/>
              </w:rPr>
              <w:t>Psychology</w:t>
            </w:r>
          </w:p>
        </w:tc>
        <w:tc>
          <w:tcPr>
            <w:tcW w:type="dxa" w:w="1872"/>
            <w:shd w:fill="F8FAFC"/>
            <w:tcMar>
              <w:top w:w="80" w:type="dxa"/>
              <w:bottom w:w="80" w:type="dxa"/>
              <w:left w:w="100" w:type="dxa"/>
              <w:right w:w="100" w:type="dxa"/>
            </w:tcMar>
          </w:tcPr>
          <w:p>
            <w:pPr>
              <w:spacing w:before="60" w:after="60"/>
            </w:pPr>
            <w:r>
              <w:rPr>
                <w:rFonts w:ascii="Calibri" w:hAnsi="Calibri"/>
                <w:color w:val="1E293B"/>
                <w:sz w:val="18"/>
              </w:rPr>
              <w:t>Cognitive Constructivism</w:t>
            </w:r>
          </w:p>
        </w:tc>
        <w:tc>
          <w:tcPr>
            <w:tcW w:type="dxa" w:w="2304"/>
            <w:shd w:fill="F8FAFC"/>
            <w:tcMar>
              <w:top w:w="80" w:type="dxa"/>
              <w:bottom w:w="80" w:type="dxa"/>
              <w:left w:w="100" w:type="dxa"/>
              <w:right w:w="100" w:type="dxa"/>
            </w:tcMar>
          </w:tcPr>
          <w:p>
            <w:pPr>
              <w:spacing w:before="60" w:after="60"/>
            </w:pPr>
            <w:r>
              <w:rPr>
                <w:rFonts w:ascii="Calibri" w:hAnsi="Calibri"/>
                <w:color w:val="1E293B"/>
                <w:sz w:val="18"/>
              </w:rPr>
              <w:t>Negotiation between mind schemas &amp; social experience</w:t>
            </w:r>
          </w:p>
        </w:tc>
        <w:tc>
          <w:tcPr>
            <w:tcW w:type="dxa" w:w="2016"/>
            <w:shd w:fill="F8FAFC"/>
            <w:tcMar>
              <w:top w:w="80" w:type="dxa"/>
              <w:bottom w:w="80" w:type="dxa"/>
              <w:left w:w="100" w:type="dxa"/>
              <w:right w:w="100" w:type="dxa"/>
            </w:tcMar>
          </w:tcPr>
          <w:p>
            <w:pPr>
              <w:spacing w:before="60" w:after="60"/>
            </w:pPr>
            <w:r>
              <w:rPr>
                <w:rFonts w:ascii="Calibri" w:hAnsi="Calibri"/>
                <w:color w:val="1E293B"/>
                <w:sz w:val="18"/>
              </w:rPr>
              <w:t>Highlighted cognitive interaction in child development.</w:t>
            </w:r>
          </w:p>
        </w:tc>
      </w:tr>
      <w:tr>
        <w:tc>
          <w:tcPr>
            <w:tcW w:type="dxa" w:w="1728"/>
            <w:shd w:fill="FFFFFF"/>
            <w:tcMar>
              <w:top w:w="80" w:type="dxa"/>
              <w:bottom w:w="80" w:type="dxa"/>
              <w:left w:w="100" w:type="dxa"/>
              <w:right w:w="100" w:type="dxa"/>
            </w:tcMar>
          </w:tcPr>
          <w:p>
            <w:pPr>
              <w:spacing w:before="60" w:after="60"/>
            </w:pPr>
            <w:r>
              <w:rPr>
                <w:rFonts w:ascii="Calibri" w:hAnsi="Calibri"/>
                <w:color w:val="1E293B"/>
                <w:sz w:val="18"/>
              </w:rPr>
              <w:t>Harry Harlow</w:t>
            </w:r>
          </w:p>
        </w:tc>
        <w:tc>
          <w:tcPr>
            <w:tcW w:type="dxa" w:w="1440"/>
            <w:shd w:fill="FFFFFF"/>
            <w:tcMar>
              <w:top w:w="80" w:type="dxa"/>
              <w:bottom w:w="80" w:type="dxa"/>
              <w:left w:w="100" w:type="dxa"/>
              <w:right w:w="100" w:type="dxa"/>
            </w:tcMar>
          </w:tcPr>
          <w:p>
            <w:pPr>
              <w:spacing w:before="60" w:after="60"/>
            </w:pPr>
            <w:r>
              <w:rPr>
                <w:rFonts w:ascii="Calibri" w:hAnsi="Calibri"/>
                <w:color w:val="1E293B"/>
                <w:sz w:val="18"/>
              </w:rPr>
              <w:t>Psychology</w:t>
            </w:r>
          </w:p>
        </w:tc>
        <w:tc>
          <w:tcPr>
            <w:tcW w:type="dxa" w:w="1872"/>
            <w:shd w:fill="FFFFFF"/>
            <w:tcMar>
              <w:top w:w="80" w:type="dxa"/>
              <w:bottom w:w="80" w:type="dxa"/>
              <w:left w:w="100" w:type="dxa"/>
              <w:right w:w="100" w:type="dxa"/>
            </w:tcMar>
          </w:tcPr>
          <w:p>
            <w:pPr>
              <w:spacing w:before="60" w:after="60"/>
            </w:pPr>
            <w:r>
              <w:rPr>
                <w:rFonts w:ascii="Calibri" w:hAnsi="Calibri"/>
                <w:color w:val="1E293B"/>
                <w:sz w:val="18"/>
              </w:rPr>
              <w:t>Social Attachment &amp; Deprivation</w:t>
            </w:r>
          </w:p>
        </w:tc>
        <w:tc>
          <w:tcPr>
            <w:tcW w:type="dxa" w:w="2304"/>
            <w:shd w:fill="FFFFFF"/>
            <w:tcMar>
              <w:top w:w="80" w:type="dxa"/>
              <w:bottom w:w="80" w:type="dxa"/>
              <w:left w:w="100" w:type="dxa"/>
              <w:right w:w="100" w:type="dxa"/>
            </w:tcMar>
          </w:tcPr>
          <w:p>
            <w:pPr>
              <w:spacing w:before="60" w:after="60"/>
            </w:pPr>
            <w:r>
              <w:rPr>
                <w:rFonts w:ascii="Calibri" w:hAnsi="Calibri"/>
                <w:color w:val="1E293B"/>
                <w:sz w:val="18"/>
              </w:rPr>
              <w:t>Isolation experiments with infant rhesus monkeys</w:t>
            </w:r>
          </w:p>
        </w:tc>
        <w:tc>
          <w:tcPr>
            <w:tcW w:type="dxa" w:w="2016"/>
            <w:shd w:fill="FFFFFF"/>
            <w:tcMar>
              <w:top w:w="80" w:type="dxa"/>
              <w:bottom w:w="80" w:type="dxa"/>
              <w:left w:w="100" w:type="dxa"/>
              <w:right w:w="100" w:type="dxa"/>
            </w:tcMar>
          </w:tcPr>
          <w:p>
            <w:pPr>
              <w:spacing w:before="60" w:after="60"/>
            </w:pPr>
            <w:r>
              <w:rPr>
                <w:rFonts w:ascii="Calibri" w:hAnsi="Calibri"/>
                <w:color w:val="1E293B"/>
                <w:sz w:val="18"/>
              </w:rPr>
              <w:t>Proved contact comfort is essential for social integration.</w:t>
            </w:r>
          </w:p>
        </w:tc>
      </w:tr>
      <w:tr>
        <w:tc>
          <w:tcPr>
            <w:tcW w:type="dxa" w:w="1728"/>
            <w:shd w:fill="F8FAFC"/>
            <w:tcMar>
              <w:top w:w="80" w:type="dxa"/>
              <w:bottom w:w="80" w:type="dxa"/>
              <w:left w:w="100" w:type="dxa"/>
              <w:right w:w="100" w:type="dxa"/>
            </w:tcMar>
          </w:tcPr>
          <w:p>
            <w:pPr>
              <w:spacing w:before="60" w:after="60"/>
            </w:pPr>
            <w:r>
              <w:rPr>
                <w:rFonts w:ascii="Calibri" w:hAnsi="Calibri"/>
                <w:color w:val="1E293B"/>
                <w:sz w:val="18"/>
              </w:rPr>
              <w:t>Émile Durkheim</w:t>
            </w:r>
          </w:p>
        </w:tc>
        <w:tc>
          <w:tcPr>
            <w:tcW w:type="dxa" w:w="1440"/>
            <w:shd w:fill="F8FAFC"/>
            <w:tcMar>
              <w:top w:w="80" w:type="dxa"/>
              <w:bottom w:w="80" w:type="dxa"/>
              <w:left w:w="100" w:type="dxa"/>
              <w:right w:w="100" w:type="dxa"/>
            </w:tcMar>
          </w:tcPr>
          <w:p>
            <w:pPr>
              <w:spacing w:before="60" w:after="60"/>
            </w:pPr>
            <w:r>
              <w:rPr>
                <w:rFonts w:ascii="Calibri" w:hAnsi="Calibri"/>
                <w:color w:val="1E293B"/>
                <w:sz w:val="18"/>
              </w:rPr>
              <w:t>Sociology</w:t>
            </w:r>
          </w:p>
        </w:tc>
        <w:tc>
          <w:tcPr>
            <w:tcW w:type="dxa" w:w="1872"/>
            <w:shd w:fill="F8FAFC"/>
            <w:tcMar>
              <w:top w:w="80" w:type="dxa"/>
              <w:bottom w:w="80" w:type="dxa"/>
              <w:left w:w="100" w:type="dxa"/>
              <w:right w:w="100" w:type="dxa"/>
            </w:tcMar>
          </w:tcPr>
          <w:p>
            <w:pPr>
              <w:spacing w:before="60" w:after="60"/>
            </w:pPr>
            <w:r>
              <w:rPr>
                <w:rFonts w:ascii="Calibri" w:hAnsi="Calibri"/>
                <w:color w:val="1E293B"/>
                <w:sz w:val="18"/>
              </w:rPr>
              <w:t>Social Facts &amp; Anomie</w:t>
            </w:r>
          </w:p>
        </w:tc>
        <w:tc>
          <w:tcPr>
            <w:tcW w:type="dxa" w:w="2304"/>
            <w:shd w:fill="F8FAFC"/>
            <w:tcMar>
              <w:top w:w="80" w:type="dxa"/>
              <w:bottom w:w="80" w:type="dxa"/>
              <w:left w:w="100" w:type="dxa"/>
              <w:right w:w="100" w:type="dxa"/>
            </w:tcMar>
          </w:tcPr>
          <w:p>
            <w:pPr>
              <w:spacing w:before="60" w:after="60"/>
            </w:pPr>
            <w:r>
              <w:rPr>
                <w:rFonts w:ascii="Calibri" w:hAnsi="Calibri"/>
                <w:color w:val="1E293B"/>
                <w:sz w:val="18"/>
              </w:rPr>
              <w:t>Empirical study attributing suicide rates to social integration</w:t>
            </w:r>
          </w:p>
        </w:tc>
        <w:tc>
          <w:tcPr>
            <w:tcW w:type="dxa" w:w="2016"/>
            <w:shd w:fill="F8FAFC"/>
            <w:tcMar>
              <w:top w:w="80" w:type="dxa"/>
              <w:bottom w:w="80" w:type="dxa"/>
              <w:left w:w="100" w:type="dxa"/>
              <w:right w:w="100" w:type="dxa"/>
            </w:tcMar>
          </w:tcPr>
          <w:p>
            <w:pPr>
              <w:spacing w:before="60" w:after="60"/>
            </w:pPr>
            <w:r>
              <w:rPr>
                <w:rFonts w:ascii="Calibri" w:hAnsi="Calibri"/>
                <w:color w:val="1E293B"/>
                <w:sz w:val="18"/>
              </w:rPr>
              <w:t>Established sociology as a distinct discipline looking outward.</w:t>
            </w:r>
          </w:p>
        </w:tc>
      </w:tr>
      <w:tr>
        <w:tc>
          <w:tcPr>
            <w:tcW w:type="dxa" w:w="1728"/>
            <w:shd w:fill="FFFFFF"/>
            <w:tcMar>
              <w:top w:w="80" w:type="dxa"/>
              <w:bottom w:w="80" w:type="dxa"/>
              <w:left w:w="100" w:type="dxa"/>
              <w:right w:w="100" w:type="dxa"/>
            </w:tcMar>
          </w:tcPr>
          <w:p>
            <w:pPr>
              <w:spacing w:before="60" w:after="60"/>
            </w:pPr>
            <w:r>
              <w:rPr>
                <w:rFonts w:ascii="Calibri" w:hAnsi="Calibri"/>
                <w:color w:val="1E293B"/>
                <w:sz w:val="18"/>
              </w:rPr>
              <w:t>Charles H. Cooley</w:t>
            </w:r>
          </w:p>
        </w:tc>
        <w:tc>
          <w:tcPr>
            <w:tcW w:type="dxa" w:w="1440"/>
            <w:shd w:fill="FFFFFF"/>
            <w:tcMar>
              <w:top w:w="80" w:type="dxa"/>
              <w:bottom w:w="80" w:type="dxa"/>
              <w:left w:w="100" w:type="dxa"/>
              <w:right w:w="100" w:type="dxa"/>
            </w:tcMar>
          </w:tcPr>
          <w:p>
            <w:pPr>
              <w:spacing w:before="60" w:after="60"/>
            </w:pPr>
            <w:r>
              <w:rPr>
                <w:rFonts w:ascii="Calibri" w:hAnsi="Calibri"/>
                <w:color w:val="1E293B"/>
                <w:sz w:val="18"/>
              </w:rPr>
              <w:t>Sociology</w:t>
            </w:r>
          </w:p>
        </w:tc>
        <w:tc>
          <w:tcPr>
            <w:tcW w:type="dxa" w:w="1872"/>
            <w:shd w:fill="FFFFFF"/>
            <w:tcMar>
              <w:top w:w="80" w:type="dxa"/>
              <w:bottom w:w="80" w:type="dxa"/>
              <w:left w:w="100" w:type="dxa"/>
              <w:right w:w="100" w:type="dxa"/>
            </w:tcMar>
          </w:tcPr>
          <w:p>
            <w:pPr>
              <w:spacing w:before="60" w:after="60"/>
            </w:pPr>
            <w:r>
              <w:rPr>
                <w:rFonts w:ascii="Calibri" w:hAnsi="Calibri"/>
                <w:color w:val="1E293B"/>
                <w:sz w:val="18"/>
              </w:rPr>
              <w:t>Looking Glass Self</w:t>
            </w:r>
          </w:p>
        </w:tc>
        <w:tc>
          <w:tcPr>
            <w:tcW w:type="dxa" w:w="2304"/>
            <w:shd w:fill="FFFFFF"/>
            <w:tcMar>
              <w:top w:w="80" w:type="dxa"/>
              <w:bottom w:w="80" w:type="dxa"/>
              <w:left w:w="100" w:type="dxa"/>
              <w:right w:w="100" w:type="dxa"/>
            </w:tcMar>
          </w:tcPr>
          <w:p>
            <w:pPr>
              <w:spacing w:before="60" w:after="60"/>
            </w:pPr>
            <w:r>
              <w:rPr>
                <w:rFonts w:ascii="Calibri" w:hAnsi="Calibri"/>
                <w:color w:val="1E293B"/>
                <w:sz w:val="18"/>
              </w:rPr>
              <w:t>Self-concept built via perceived evaluation by others</w:t>
            </w:r>
          </w:p>
        </w:tc>
        <w:tc>
          <w:tcPr>
            <w:tcW w:type="dxa" w:w="2016"/>
            <w:shd w:fill="FFFFFF"/>
            <w:tcMar>
              <w:top w:w="80" w:type="dxa"/>
              <w:bottom w:w="80" w:type="dxa"/>
              <w:left w:w="100" w:type="dxa"/>
              <w:right w:w="100" w:type="dxa"/>
            </w:tcMar>
          </w:tcPr>
          <w:p>
            <w:pPr>
              <w:spacing w:before="60" w:after="60"/>
            </w:pPr>
            <w:r>
              <w:rPr>
                <w:rFonts w:ascii="Calibri" w:hAnsi="Calibri"/>
                <w:color w:val="1E293B"/>
                <w:sz w:val="18"/>
              </w:rPr>
              <w:t>Showed self-identity is fundamentally social and reflective.</w:t>
            </w:r>
          </w:p>
        </w:tc>
      </w:tr>
      <w:tr>
        <w:tc>
          <w:tcPr>
            <w:tcW w:type="dxa" w:w="1728"/>
            <w:shd w:fill="F8FAFC"/>
            <w:tcMar>
              <w:top w:w="80" w:type="dxa"/>
              <w:bottom w:w="80" w:type="dxa"/>
              <w:left w:w="100" w:type="dxa"/>
              <w:right w:w="100" w:type="dxa"/>
            </w:tcMar>
          </w:tcPr>
          <w:p>
            <w:pPr>
              <w:spacing w:before="60" w:after="60"/>
            </w:pPr>
            <w:r>
              <w:rPr>
                <w:rFonts w:ascii="Calibri" w:hAnsi="Calibri"/>
                <w:color w:val="1E293B"/>
                <w:sz w:val="18"/>
              </w:rPr>
              <w:t>George H. Mead</w:t>
            </w:r>
          </w:p>
        </w:tc>
        <w:tc>
          <w:tcPr>
            <w:tcW w:type="dxa" w:w="1440"/>
            <w:shd w:fill="F8FAFC"/>
            <w:tcMar>
              <w:top w:w="80" w:type="dxa"/>
              <w:bottom w:w="80" w:type="dxa"/>
              <w:left w:w="100" w:type="dxa"/>
              <w:right w:w="100" w:type="dxa"/>
            </w:tcMar>
          </w:tcPr>
          <w:p>
            <w:pPr>
              <w:spacing w:before="60" w:after="60"/>
            </w:pPr>
            <w:r>
              <w:rPr>
                <w:rFonts w:ascii="Calibri" w:hAnsi="Calibri"/>
                <w:color w:val="1E293B"/>
                <w:sz w:val="18"/>
              </w:rPr>
              <w:t>Sociology</w:t>
            </w:r>
          </w:p>
        </w:tc>
        <w:tc>
          <w:tcPr>
            <w:tcW w:type="dxa" w:w="1872"/>
            <w:shd w:fill="F8FAFC"/>
            <w:tcMar>
              <w:top w:w="80" w:type="dxa"/>
              <w:bottom w:w="80" w:type="dxa"/>
              <w:left w:w="100" w:type="dxa"/>
              <w:right w:w="100" w:type="dxa"/>
            </w:tcMar>
          </w:tcPr>
          <w:p>
            <w:pPr>
              <w:spacing w:before="60" w:after="60"/>
            </w:pPr>
            <w:r>
              <w:rPr>
                <w:rFonts w:ascii="Calibri" w:hAnsi="Calibri"/>
                <w:color w:val="1E293B"/>
                <w:sz w:val="18"/>
              </w:rPr>
              <w:t>Symbolic Interactionism &amp; 'Self'</w:t>
            </w:r>
          </w:p>
        </w:tc>
        <w:tc>
          <w:tcPr>
            <w:tcW w:type="dxa" w:w="2304"/>
            <w:shd w:fill="F8FAFC"/>
            <w:tcMar>
              <w:top w:w="80" w:type="dxa"/>
              <w:bottom w:w="80" w:type="dxa"/>
              <w:left w:w="100" w:type="dxa"/>
              <w:right w:w="100" w:type="dxa"/>
            </w:tcMar>
          </w:tcPr>
          <w:p>
            <w:pPr>
              <w:spacing w:before="60" w:after="60"/>
            </w:pPr>
            <w:r>
              <w:rPr>
                <w:rFonts w:ascii="Calibri" w:hAnsi="Calibri"/>
                <w:color w:val="1E293B"/>
                <w:sz w:val="18"/>
              </w:rPr>
              <w:t>Preparatory, Play, Game stages -&gt; Generalized Other</w:t>
            </w:r>
          </w:p>
        </w:tc>
        <w:tc>
          <w:tcPr>
            <w:tcW w:type="dxa" w:w="2016"/>
            <w:shd w:fill="F8FAFC"/>
            <w:tcMar>
              <w:top w:w="80" w:type="dxa"/>
              <w:bottom w:w="80" w:type="dxa"/>
              <w:left w:w="100" w:type="dxa"/>
              <w:right w:w="100" w:type="dxa"/>
            </w:tcMar>
          </w:tcPr>
          <w:p>
            <w:pPr>
              <w:spacing w:before="60" w:after="60"/>
            </w:pPr>
            <w:r>
              <w:rPr>
                <w:rFonts w:ascii="Calibri" w:hAnsi="Calibri"/>
                <w:color w:val="1E293B"/>
                <w:sz w:val="18"/>
              </w:rPr>
              <w:t>Detailing how perspective-taking constructs the social self.</w:t>
            </w:r>
          </w:p>
        </w:tc>
      </w:tr>
      <w:tr>
        <w:tc>
          <w:tcPr>
            <w:tcW w:type="dxa" w:w="1728"/>
            <w:shd w:fill="FFFFFF"/>
            <w:tcMar>
              <w:top w:w="80" w:type="dxa"/>
              <w:bottom w:w="80" w:type="dxa"/>
              <w:left w:w="100" w:type="dxa"/>
              <w:right w:w="100" w:type="dxa"/>
            </w:tcMar>
          </w:tcPr>
          <w:p>
            <w:pPr>
              <w:spacing w:before="60" w:after="60"/>
            </w:pPr>
            <w:r>
              <w:rPr>
                <w:rFonts w:ascii="Calibri" w:hAnsi="Calibri"/>
                <w:color w:val="1E293B"/>
                <w:sz w:val="18"/>
              </w:rPr>
              <w:t>Lawrence Kohlberg</w:t>
            </w:r>
          </w:p>
        </w:tc>
        <w:tc>
          <w:tcPr>
            <w:tcW w:type="dxa" w:w="1440"/>
            <w:shd w:fill="FFFFFF"/>
            <w:tcMar>
              <w:top w:w="80" w:type="dxa"/>
              <w:bottom w:w="80" w:type="dxa"/>
              <w:left w:w="100" w:type="dxa"/>
              <w:right w:w="100" w:type="dxa"/>
            </w:tcMar>
          </w:tcPr>
          <w:p>
            <w:pPr>
              <w:spacing w:before="60" w:after="60"/>
            </w:pPr>
            <w:r>
              <w:rPr>
                <w:rFonts w:ascii="Calibri" w:hAnsi="Calibri"/>
                <w:color w:val="1E293B"/>
                <w:sz w:val="18"/>
              </w:rPr>
              <w:t>Psychology / Ethics</w:t>
            </w:r>
          </w:p>
        </w:tc>
        <w:tc>
          <w:tcPr>
            <w:tcW w:type="dxa" w:w="1872"/>
            <w:shd w:fill="FFFFFF"/>
            <w:tcMar>
              <w:top w:w="80" w:type="dxa"/>
              <w:bottom w:w="80" w:type="dxa"/>
              <w:left w:w="100" w:type="dxa"/>
              <w:right w:w="100" w:type="dxa"/>
            </w:tcMar>
          </w:tcPr>
          <w:p>
            <w:pPr>
              <w:spacing w:before="60" w:after="60"/>
            </w:pPr>
            <w:r>
              <w:rPr>
                <w:rFonts w:ascii="Calibri" w:hAnsi="Calibri"/>
                <w:color w:val="1E293B"/>
                <w:sz w:val="18"/>
              </w:rPr>
              <w:t>Moral Development Levels</w:t>
            </w:r>
          </w:p>
        </w:tc>
        <w:tc>
          <w:tcPr>
            <w:tcW w:type="dxa" w:w="2304"/>
            <w:shd w:fill="FFFFFF"/>
            <w:tcMar>
              <w:top w:w="80" w:type="dxa"/>
              <w:bottom w:w="80" w:type="dxa"/>
              <w:left w:w="100" w:type="dxa"/>
              <w:right w:w="100" w:type="dxa"/>
            </w:tcMar>
          </w:tcPr>
          <w:p>
            <w:pPr>
              <w:spacing w:before="60" w:after="60"/>
            </w:pPr>
            <w:r>
              <w:rPr>
                <w:rFonts w:ascii="Calibri" w:hAnsi="Calibri"/>
                <w:color w:val="1E293B"/>
                <w:sz w:val="18"/>
              </w:rPr>
              <w:t>Preconventional, Conventional, Postconventional levels</w:t>
            </w:r>
          </w:p>
        </w:tc>
        <w:tc>
          <w:tcPr>
            <w:tcW w:type="dxa" w:w="2016"/>
            <w:shd w:fill="FFFFFF"/>
            <w:tcMar>
              <w:top w:w="80" w:type="dxa"/>
              <w:bottom w:w="80" w:type="dxa"/>
              <w:left w:w="100" w:type="dxa"/>
              <w:right w:w="100" w:type="dxa"/>
            </w:tcMar>
          </w:tcPr>
          <w:p>
            <w:pPr>
              <w:spacing w:before="60" w:after="60"/>
            </w:pPr>
            <w:r>
              <w:rPr>
                <w:rFonts w:ascii="Calibri" w:hAnsi="Calibri"/>
                <w:color w:val="1E293B"/>
                <w:sz w:val="18"/>
              </w:rPr>
              <w:t>Formulated stage-model of morality; criticized for male-only sample.</w:t>
            </w:r>
          </w:p>
        </w:tc>
      </w:tr>
      <w:tr>
        <w:tc>
          <w:tcPr>
            <w:tcW w:type="dxa" w:w="1728"/>
            <w:shd w:fill="F8FAFC"/>
            <w:tcMar>
              <w:top w:w="80" w:type="dxa"/>
              <w:bottom w:w="80" w:type="dxa"/>
              <w:left w:w="100" w:type="dxa"/>
              <w:right w:w="100" w:type="dxa"/>
            </w:tcMar>
          </w:tcPr>
          <w:p>
            <w:pPr>
              <w:spacing w:before="60" w:after="60"/>
            </w:pPr>
            <w:r>
              <w:rPr>
                <w:rFonts w:ascii="Calibri" w:hAnsi="Calibri"/>
                <w:color w:val="1E293B"/>
                <w:sz w:val="18"/>
              </w:rPr>
              <w:t>Carol Gilligan</w:t>
            </w:r>
          </w:p>
        </w:tc>
        <w:tc>
          <w:tcPr>
            <w:tcW w:type="dxa" w:w="1440"/>
            <w:shd w:fill="F8FAFC"/>
            <w:tcMar>
              <w:top w:w="80" w:type="dxa"/>
              <w:bottom w:w="80" w:type="dxa"/>
              <w:left w:w="100" w:type="dxa"/>
              <w:right w:w="100" w:type="dxa"/>
            </w:tcMar>
          </w:tcPr>
          <w:p>
            <w:pPr>
              <w:spacing w:before="60" w:after="60"/>
            </w:pPr>
            <w:r>
              <w:rPr>
                <w:rFonts w:ascii="Calibri" w:hAnsi="Calibri"/>
                <w:color w:val="1E293B"/>
                <w:sz w:val="18"/>
              </w:rPr>
              <w:t>Psychology / Gender</w:t>
            </w:r>
          </w:p>
        </w:tc>
        <w:tc>
          <w:tcPr>
            <w:tcW w:type="dxa" w:w="1872"/>
            <w:shd w:fill="F8FAFC"/>
            <w:tcMar>
              <w:top w:w="80" w:type="dxa"/>
              <w:bottom w:w="80" w:type="dxa"/>
              <w:left w:w="100" w:type="dxa"/>
              <w:right w:w="100" w:type="dxa"/>
            </w:tcMar>
          </w:tcPr>
          <w:p>
            <w:pPr>
              <w:spacing w:before="60" w:after="60"/>
            </w:pPr>
            <w:r>
              <w:rPr>
                <w:rFonts w:ascii="Calibri" w:hAnsi="Calibri"/>
                <w:color w:val="1E293B"/>
                <w:sz w:val="18"/>
              </w:rPr>
              <w:t>Care vs. Justice Perspective</w:t>
            </w:r>
          </w:p>
        </w:tc>
        <w:tc>
          <w:tcPr>
            <w:tcW w:type="dxa" w:w="2304"/>
            <w:shd w:fill="F8FAFC"/>
            <w:tcMar>
              <w:top w:w="80" w:type="dxa"/>
              <w:bottom w:w="80" w:type="dxa"/>
              <w:left w:w="100" w:type="dxa"/>
              <w:right w:w="100" w:type="dxa"/>
            </w:tcMar>
          </w:tcPr>
          <w:p>
            <w:pPr>
              <w:spacing w:before="60" w:after="60"/>
            </w:pPr>
            <w:r>
              <w:rPr>
                <w:rFonts w:ascii="Calibri" w:hAnsi="Calibri"/>
                <w:color w:val="1E293B"/>
                <w:sz w:val="18"/>
              </w:rPr>
              <w:t>Gendered orientations: Justice (rules) vs. Care (relationships)</w:t>
            </w:r>
          </w:p>
        </w:tc>
        <w:tc>
          <w:tcPr>
            <w:tcW w:type="dxa" w:w="2016"/>
            <w:shd w:fill="F8FAFC"/>
            <w:tcMar>
              <w:top w:w="80" w:type="dxa"/>
              <w:bottom w:w="80" w:type="dxa"/>
              <w:left w:w="100" w:type="dxa"/>
              <w:right w:w="100" w:type="dxa"/>
            </w:tcMar>
          </w:tcPr>
          <w:p>
            <w:pPr>
              <w:spacing w:before="60" w:after="60"/>
            </w:pPr>
            <w:r>
              <w:rPr>
                <w:rFonts w:ascii="Calibri" w:hAnsi="Calibri"/>
                <w:color w:val="1E293B"/>
                <w:sz w:val="18"/>
              </w:rPr>
              <w:t>Exposed gender bias; differences attributed to gender socialization.</w:t>
            </w:r>
          </w:p>
        </w:tc>
      </w:tr>
    </w:tbl>
    <w:p>
      <w:pPr>
        <w:spacing w:after="200"/>
      </w:pPr>
    </w:p>
    <w:p>
      <w:pPr>
        <w:pStyle w:val="Heading1"/>
        <w:keepNext/>
        <w:spacing w:before="320" w:after="160"/>
      </w:pPr>
      <w:r>
        <w:rPr>
          <w:rFonts w:ascii="Arial" w:hAnsi="Arial"/>
          <w:b/>
          <w:color w:val="1E3A8A"/>
          <w:sz w:val="32"/>
        </w:rPr>
        <w:t>3. Key-Term Glossary</w:t>
      </w:r>
    </w:p>
    <w:p>
      <w:pPr>
        <w:spacing w:after="80" w:line="276" w:lineRule="auto"/>
      </w:pPr>
      <w:r>
        <w:rPr>
          <w:rFonts w:ascii="Calibri" w:hAnsi="Calibri"/>
          <w:b/>
          <w:color w:val="1E293B"/>
          <w:sz w:val="22"/>
        </w:rPr>
        <w:t xml:space="preserve">• Looking Glass Self: </w:t>
      </w:r>
      <w:r>
        <w:rPr>
          <w:rFonts w:ascii="Calibri" w:hAnsi="Calibri"/>
          <w:color w:val="1E293B"/>
          <w:sz w:val="22"/>
        </w:rPr>
        <w:t>Charles Horton Cooley's theory that individuals build their self-concept through their perceptions of how others judge their appearance, behavior, and character.</w:t>
      </w:r>
    </w:p>
    <w:p>
      <w:pPr>
        <w:spacing w:after="80" w:line="276" w:lineRule="auto"/>
      </w:pPr>
      <w:r>
        <w:rPr>
          <w:rFonts w:ascii="Calibri" w:hAnsi="Calibri"/>
          <w:b/>
          <w:color w:val="1E293B"/>
          <w:sz w:val="22"/>
        </w:rPr>
        <w:t xml:space="preserve">• Generalized Other: </w:t>
      </w:r>
      <w:r>
        <w:rPr>
          <w:rFonts w:ascii="Calibri" w:hAnsi="Calibri"/>
          <w:color w:val="1E293B"/>
          <w:sz w:val="22"/>
        </w:rPr>
        <w:t>The internalized collection of general societal norms, values, and expectations that an individual uses as a reference point to guide behavior and evaluate the self.</w:t>
      </w:r>
    </w:p>
    <w:p>
      <w:pPr>
        <w:spacing w:after="80" w:line="276" w:lineRule="auto"/>
      </w:pPr>
      <w:r>
        <w:rPr>
          <w:rFonts w:ascii="Calibri" w:hAnsi="Calibri"/>
          <w:b/>
          <w:color w:val="1E293B"/>
          <w:sz w:val="22"/>
        </w:rPr>
        <w:t xml:space="preserve">• Preparatory Stage: </w:t>
      </w:r>
      <w:r>
        <w:rPr>
          <w:rFonts w:ascii="Calibri" w:hAnsi="Calibri"/>
          <w:color w:val="1E293B"/>
          <w:sz w:val="22"/>
        </w:rPr>
        <w:t>Mead's initial stage of child development characterized by pure imitation without true perspective-taking or role comprehension.</w:t>
      </w:r>
    </w:p>
    <w:p>
      <w:pPr>
        <w:spacing w:after="80" w:line="276" w:lineRule="auto"/>
      </w:pPr>
      <w:r>
        <w:rPr>
          <w:rFonts w:ascii="Calibri" w:hAnsi="Calibri"/>
          <w:b/>
          <w:color w:val="1E293B"/>
          <w:sz w:val="22"/>
        </w:rPr>
        <w:t xml:space="preserve">• Play Stage: </w:t>
      </w:r>
      <w:r>
        <w:rPr>
          <w:rFonts w:ascii="Calibri" w:hAnsi="Calibri"/>
          <w:color w:val="1E293B"/>
          <w:sz w:val="22"/>
        </w:rPr>
        <w:t>Mead's second developmental stage where children take on specific roles one at a time (e.g., playing doctor, parent, or firefighter).</w:t>
      </w:r>
    </w:p>
    <w:p>
      <w:pPr>
        <w:spacing w:after="80" w:line="276" w:lineRule="auto"/>
      </w:pPr>
      <w:r>
        <w:rPr>
          <w:rFonts w:ascii="Calibri" w:hAnsi="Calibri"/>
          <w:b/>
          <w:color w:val="1E293B"/>
          <w:sz w:val="22"/>
        </w:rPr>
        <w:t xml:space="preserve">• Game Stage: </w:t>
      </w:r>
      <w:r>
        <w:rPr>
          <w:rFonts w:ascii="Calibri" w:hAnsi="Calibri"/>
          <w:color w:val="1E293B"/>
          <w:sz w:val="22"/>
        </w:rPr>
        <w:t>Mead's third developmental stage where children learn to comprehend and coordinate multiple, simultaneous roles within structured social interactions.</w:t>
      </w:r>
    </w:p>
    <w:p>
      <w:pPr>
        <w:spacing w:after="80" w:line="276" w:lineRule="auto"/>
      </w:pPr>
      <w:r>
        <w:rPr>
          <w:rFonts w:ascii="Calibri" w:hAnsi="Calibri"/>
          <w:b/>
          <w:color w:val="1E293B"/>
          <w:sz w:val="22"/>
        </w:rPr>
        <w:t xml:space="preserve">• Psychosocial Development: </w:t>
      </w:r>
      <w:r>
        <w:rPr>
          <w:rFonts w:ascii="Calibri" w:hAnsi="Calibri"/>
          <w:color w:val="1E293B"/>
          <w:sz w:val="22"/>
        </w:rPr>
        <w:t>Erik Erikson's eight-stage model asserting that personality evolves throughout the entire lifespan via negotiations between individual needs and social expectations.</w:t>
      </w:r>
    </w:p>
    <w:p>
      <w:pPr>
        <w:spacing w:after="80" w:line="276" w:lineRule="auto"/>
      </w:pPr>
      <w:r>
        <w:rPr>
          <w:rFonts w:ascii="Calibri" w:hAnsi="Calibri"/>
          <w:b/>
          <w:color w:val="1E293B"/>
          <w:sz w:val="22"/>
        </w:rPr>
        <w:t xml:space="preserve">• Social Contact Comfort: </w:t>
      </w:r>
      <w:r>
        <w:rPr>
          <w:rFonts w:ascii="Calibri" w:hAnsi="Calibri"/>
          <w:color w:val="1E293B"/>
          <w:sz w:val="22"/>
        </w:rPr>
        <w:t>Harry Harlow's empirical finding that physical and emotional warmth from caregivers is more vital for normal social-emotional attachment than basic physiological nourishment.</w:t>
      </w:r>
    </w:p>
    <w:p>
      <w:pPr>
        <w:spacing w:after="80" w:line="276" w:lineRule="auto"/>
      </w:pPr>
      <w:r>
        <w:rPr>
          <w:rFonts w:ascii="Calibri" w:hAnsi="Calibri"/>
          <w:b/>
          <w:color w:val="1E293B"/>
          <w:sz w:val="22"/>
        </w:rPr>
        <w:t xml:space="preserve">• Preconventional Morality: </w:t>
      </w:r>
      <w:r>
        <w:rPr>
          <w:rFonts w:ascii="Calibri" w:hAnsi="Calibri"/>
          <w:color w:val="1E293B"/>
          <w:sz w:val="22"/>
        </w:rPr>
        <w:t>Kohlberg's first level of moral reasoning where right and wrong are judged strictly by sensory consequences (punishment vs. reward).</w:t>
      </w:r>
    </w:p>
    <w:p>
      <w:pPr>
        <w:spacing w:after="80" w:line="276" w:lineRule="auto"/>
      </w:pPr>
      <w:r>
        <w:rPr>
          <w:rFonts w:ascii="Calibri" w:hAnsi="Calibri"/>
          <w:b/>
          <w:color w:val="1E293B"/>
          <w:sz w:val="22"/>
        </w:rPr>
        <w:t xml:space="preserve">• Conventional Morality: </w:t>
      </w:r>
      <w:r>
        <w:rPr>
          <w:rFonts w:ascii="Calibri" w:hAnsi="Calibri"/>
          <w:color w:val="1E293B"/>
          <w:sz w:val="22"/>
        </w:rPr>
        <w:t>Kohlberg's second moral level where actions are judged based on conformity to societal rules, law, and social approval.</w:t>
      </w:r>
    </w:p>
    <w:p>
      <w:pPr>
        <w:spacing w:after="80" w:line="276" w:lineRule="auto"/>
      </w:pPr>
      <w:r>
        <w:rPr>
          <w:rFonts w:ascii="Calibri" w:hAnsi="Calibri"/>
          <w:b/>
          <w:color w:val="1E293B"/>
          <w:sz w:val="22"/>
        </w:rPr>
        <w:t xml:space="preserve">• Postconventional Morality: </w:t>
      </w:r>
      <w:r>
        <w:rPr>
          <w:rFonts w:ascii="Calibri" w:hAnsi="Calibri"/>
          <w:color w:val="1E293B"/>
          <w:sz w:val="22"/>
        </w:rPr>
        <w:t>Kohlberg's highest moral level where individuals evaluate ethical situations using abstract universal principles and acknowledge that laws can be unjust.</w:t>
      </w:r>
    </w:p>
    <w:p>
      <w:pPr>
        <w:spacing w:after="80" w:line="276" w:lineRule="auto"/>
      </w:pPr>
      <w:r>
        <w:rPr>
          <w:rFonts w:ascii="Calibri" w:hAnsi="Calibri"/>
          <w:b/>
          <w:color w:val="1E293B"/>
          <w:sz w:val="22"/>
        </w:rPr>
        <w:t xml:space="preserve">• Justice vs. Care Perspective: </w:t>
      </w:r>
      <w:r>
        <w:rPr>
          <w:rFonts w:ascii="Calibri" w:hAnsi="Calibri"/>
          <w:color w:val="1E293B"/>
          <w:sz w:val="22"/>
        </w:rPr>
        <w:t>Carol Gilligan's contrast between a rule-and-law orientation (justice) and an empathetic, context-oriented relationship focus (care).</w:t>
      </w:r>
    </w:p>
    <w:p>
      <w:pPr>
        <w:spacing w:after="80" w:line="276" w:lineRule="auto"/>
      </w:pPr>
      <w:r>
        <w:rPr>
          <w:rFonts w:ascii="Calibri" w:hAnsi="Calibri"/>
          <w:b/>
          <w:color w:val="1E293B"/>
          <w:sz w:val="22"/>
        </w:rPr>
        <w:t xml:space="preserve">• Gender Socialization: </w:t>
      </w:r>
      <w:r>
        <w:rPr>
          <w:rFonts w:ascii="Calibri" w:hAnsi="Calibri"/>
          <w:color w:val="1E293B"/>
          <w:sz w:val="22"/>
        </w:rPr>
        <w:t>The process by which cultural expectations regarding gender roles, toys, appearance, and conduct are communicated and enforced across social institutions.</w:t>
      </w:r>
    </w:p>
    <w:p>
      <w:pPr>
        <w:pStyle w:val="Heading1"/>
        <w:keepNext/>
        <w:spacing w:before="320" w:after="160"/>
      </w:pPr>
      <w:r>
        <w:rPr>
          <w:rFonts w:ascii="Arial" w:hAnsi="Arial"/>
          <w:b/>
          <w:color w:val="1E3A8A"/>
          <w:sz w:val="32"/>
        </w:rPr>
        <w:t>4. Review Essay Prompts &amp; Model Answers</w:t>
      </w:r>
    </w:p>
    <w:p>
      <w:pPr>
        <w:pStyle w:val="Heading2"/>
        <w:keepNext/>
        <w:spacing w:before="240" w:after="80"/>
      </w:pPr>
      <w:r>
        <w:rPr>
          <w:rFonts w:ascii="Arial" w:hAnsi="Arial"/>
          <w:b/>
          <w:color w:val="1E3A8A"/>
          <w:sz w:val="26"/>
        </w:rPr>
        <w:t>Essay Prompt 1: Psychological vs. Sociological Paradigms of the Self</w:t>
      </w:r>
    </w:p>
    <w:p>
      <w:pPr>
        <w:spacing w:after="120" w:line="276" w:lineRule="auto"/>
      </w:pPr>
      <w:r>
        <w:rPr>
          <w:rFonts w:ascii="Calibri" w:hAnsi="Calibri"/>
          <w:i/>
          <w:color w:val="1E293B"/>
          <w:sz w:val="22"/>
        </w:rPr>
        <w:t>Prompt: Compare and contrast how psychological perspectives (e.g., Freud, Erikson) and sociological perspectives (e.g., Cooley, Mead) conceptualize the emergence of the self. How do their analytical scopes and methodological focuses differ?</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80"/>
            </w:pPr>
            <w:r>
              <w:rPr>
                <w:rFonts w:ascii="Arial" w:hAnsi="Arial"/>
                <w:b/>
                <w:color w:val="1D4ED8"/>
                <w:sz w:val="22"/>
              </w:rPr>
              <w:t>MODEL ANSWER</w:t>
            </w:r>
          </w:p>
          <w:p>
            <w:pPr>
              <w:spacing w:before="0" w:after="40"/>
            </w:pPr>
            <w:r>
              <w:rPr>
                <w:rFonts w:ascii="Calibri" w:hAnsi="Calibri"/>
                <w:color w:val="334155"/>
                <w:sz w:val="20"/>
              </w:rPr>
              <w:t>Model Answer:</w:t>
              <w:br/>
              <w:t>Psychology and sociology offer complementary yet distinct frameworks for understanding self-development. Psychological paradigms primarily adopt an 'inward' analytical scope. Sigmund Freud posited that self-development is governed by internal psychosexual drives and early childhood resolution of subconscious conflicts. Erik Erikson expanded Freud's model into a lifelong psychosocial framework, arguing that individuals navigate eight developmental crises between internal desires and societal constraints. While Erikson incorporated social context, his primary unit of analysis remained internal ego development.</w:t>
              <w:br/>
              <w:br/>
              <w:t>Conversely, sociological paradigms adopt an 'outward' perspective, asserting that the self is an inherently social product generated through symbolic interaction. Charles Horton Cooley introduced the 'looking glass self,' demonstrating that individual identity is constructed via our subjective interpretation of how others perceive and judge us. George Herbert Mead built upon this by outlining a sequential process of socialization (preparatory, play, and game stages). For Mead, the self emerges only when an individual learns perspective-taking and internalizes the 'generalized other'—the collective norms of society.</w:t>
              <w:br/>
              <w:br/>
              <w:t>In summary, while psychology examines internal mental development, emotional health, and cognitive schemas, sociology analyzes social structures, interpersonal interactions, and cultural expectations. As Émile Durkheim established, sociological phenomena cannot be reduced to individual psychology; rather, the self is continually forged within a social matrix.</w:t>
            </w:r>
          </w:p>
        </w:tc>
      </w:tr>
    </w:tbl>
    <w:p>
      <w:pPr>
        <w:spacing w:after="120"/>
      </w:pPr>
    </w:p>
    <w:p>
      <w:pPr>
        <w:pStyle w:val="Heading2"/>
        <w:keepNext/>
        <w:spacing w:before="240" w:after="80"/>
      </w:pPr>
      <w:r>
        <w:rPr>
          <w:rFonts w:ascii="Arial" w:hAnsi="Arial"/>
          <w:b/>
          <w:color w:val="1E3A8A"/>
          <w:sz w:val="26"/>
        </w:rPr>
        <w:t>Essay Prompt 2: The Evolution of Moral Reasoning and the Postconventional Standard</w:t>
      </w:r>
    </w:p>
    <w:p>
      <w:pPr>
        <w:spacing w:after="120" w:line="276" w:lineRule="auto"/>
      </w:pPr>
      <w:r>
        <w:rPr>
          <w:rFonts w:ascii="Calibri" w:hAnsi="Calibri"/>
          <w:i/>
          <w:color w:val="1E293B"/>
          <w:sz w:val="22"/>
        </w:rPr>
        <w:t>Prompt: Detail Lawrence Kohlberg's three levels of moral development. Using a historical or contemporary example, explain what distinguishes postconventional moral reasoning from conventional moral reasoning.</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80"/>
            </w:pPr>
            <w:r>
              <w:rPr>
                <w:rFonts w:ascii="Arial" w:hAnsi="Arial"/>
                <w:b/>
                <w:color w:val="1D4ED8"/>
                <w:sz w:val="22"/>
              </w:rPr>
              <w:t>MODEL ANSWER</w:t>
            </w:r>
          </w:p>
          <w:p>
            <w:pPr>
              <w:spacing w:before="0" w:after="40"/>
            </w:pPr>
            <w:r>
              <w:rPr>
                <w:rFonts w:ascii="Calibri" w:hAnsi="Calibri"/>
                <w:color w:val="334155"/>
                <w:sz w:val="20"/>
              </w:rPr>
              <w:t>Model Answer:</w:t>
              <w:br/>
              <w:t>Lawrence Kohlberg conceptualized moral development as a cognitive progression through three distinct levels: preconventional, conventional, and postconventional.</w:t>
              <w:br/>
              <w:t>1. Preconventional Level: Prevalent in young children, moral judgment is egocentric and determined entirely by sensory outcomes—obeying rules to avoid punishment or seek immediate rewards.</w:t>
              <w:br/>
              <w:t>2. Conventional Level: Emerging during adolescence, individuals internalize societal rules and laws, evaluating right and wrong based on social approval, authority, and maintaining social order.</w:t>
              <w:br/>
              <w:t>3. Postconventional Level: Individuals evaluate morality through abstract ethical principles (e.g., universal human rights, justice, equality), recognizing that positive law and moral justice are not always congruent.</w:t>
              <w:br/>
              <w:br/>
              <w:t>A clear illustration of postconventional morality occurred during the 2011 Egyptian Arab Spring demonstrations. Hundreds of thousands of citizens gathered in Tahrir Square to protest government corruption and authoritarian rule. At a conventional level, protesting violated state law and disrupted public order. However, the protesters operated at a postconventional level: they recognized that although the authoritarian regime was legally constituted, its oppression breached fundamental human rights. Postconventional thinkers evaluate laws against higher universal ethical principles, demonstrating that morality transcends legal obedience.</w:t>
            </w:r>
          </w:p>
        </w:tc>
      </w:tr>
    </w:tbl>
    <w:p>
      <w:pPr>
        <w:spacing w:after="120"/>
      </w:pPr>
    </w:p>
    <w:p>
      <w:pPr>
        <w:pStyle w:val="Heading2"/>
        <w:keepNext/>
        <w:spacing w:before="240" w:after="80"/>
      </w:pPr>
      <w:r>
        <w:rPr>
          <w:rFonts w:ascii="Arial" w:hAnsi="Arial"/>
          <w:b/>
          <w:color w:val="1E3A8A"/>
          <w:sz w:val="26"/>
        </w:rPr>
        <w:t>Essay Prompt 3: Gender Socialization, Moral Ethics, and Behavioral Expectations</w:t>
      </w:r>
    </w:p>
    <w:p>
      <w:pPr>
        <w:spacing w:after="120" w:line="276" w:lineRule="auto"/>
      </w:pPr>
      <w:r>
        <w:rPr>
          <w:rFonts w:ascii="Calibri" w:hAnsi="Calibri"/>
          <w:i/>
          <w:color w:val="1E293B"/>
          <w:sz w:val="22"/>
        </w:rPr>
        <w:t>Prompt: Critically analyze Carol Gilligan's critique of Kohlberg's moral development theory. How do modern sociologists explain observed gender differences in moral and behavioral orientations?</w:t>
      </w: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200" w:type="dxa"/>
              <w:right w:w="200" w:type="dxa"/>
            </w:tcMar>
            <w:tcBorders>
              <w:top w:val="none"/>
              <w:left w:val="single" w:sz="24" w:space="0" w:color="059669"/>
              <w:bottom w:val="none"/>
              <w:right w:val="none"/>
            </w:tcBorders>
          </w:tcPr>
          <w:p>
            <w:pPr>
              <w:spacing w:before="40" w:after="80"/>
            </w:pPr>
            <w:r>
              <w:rPr>
                <w:rFonts w:ascii="Arial" w:hAnsi="Arial"/>
                <w:b/>
                <w:color w:val="1D4ED8"/>
                <w:sz w:val="22"/>
              </w:rPr>
              <w:t>MODEL ANSWER</w:t>
            </w:r>
          </w:p>
          <w:p>
            <w:pPr>
              <w:spacing w:before="0" w:after="40"/>
            </w:pPr>
            <w:r>
              <w:rPr>
                <w:rFonts w:ascii="Calibri" w:hAnsi="Calibri"/>
                <w:color w:val="334155"/>
                <w:sz w:val="20"/>
              </w:rPr>
              <w:t>Model Answer:</w:t>
              <w:br/>
              <w:t>Carol Gilligan critiqued Lawrence Kohlberg's moral development theory on methodological and conceptual grounds. Kohlberg's empirical research relied exclusively on male subjects, yet he generalized his findings as a universal model of human moral development. Gilligan argued that this male-centric model favored a 'justice perspective'—focused on rules, formal rights, and abstract law—while penalizing women, who frequently exhibited a 'care perspective' emphasizing interpersonal relationships, empathy, and situational context.</w:t>
              <w:br/>
              <w:br/>
              <w:t>However, subsequent empirical studies failed to replicate Gilligan's claims of innate gendered moral differences, and her research was criticized for small sample size. Modern sociologists emphasize that the differences Gilligan observed were not biological or inherent stages of moral development, but direct outcomes of gender socialization. From early childhood, societal institutions socialize boys for public/competitive domains where formal rules predominate, while socializing girls for domestic/nurturing domains where interpersonal harmony is emphasized.</w:t>
              <w:br/>
              <w:br/>
              <w:t>As sociologists like Lisa Bloom demonstrate, everyday messaging constantly reinforces gendered expectations—such as focusing on girls' outward appearance rather than intellectual capabilities. Institutional interventions, such as Sweden's Egalia preschool, demonstrate that when gendered expectations are actively dismantled, behavioral differences minimize. Thus, observed gender variations in moral and social conduct are culturally constructed through lifelong socialization rather than hardwired psychological differences.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